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2A9E971C" w:rsidR="007A5B38" w:rsidRPr="00A60018" w:rsidRDefault="007A5B38" w:rsidP="007A5B38">
      <w:pPr>
        <w:pStyle w:val="3GPPHeader"/>
        <w:rPr>
          <w:highlight w:val="yellow"/>
          <w:lang w:val="sv-SE"/>
        </w:rPr>
      </w:pPr>
      <w:bookmarkStart w:id="0" w:name="_Hlk489988649"/>
      <w:bookmarkEnd w:id="0"/>
      <w:r w:rsidRPr="00A60018">
        <w:rPr>
          <w:lang w:val="sv-SE"/>
        </w:rPr>
        <w:t xml:space="preserve">3GPP TSG-RAN WG1 </w:t>
      </w:r>
      <w:r w:rsidR="00CD0D9B">
        <w:rPr>
          <w:lang w:val="sv-SE"/>
        </w:rPr>
        <w:t>#90bis</w:t>
      </w:r>
      <w:r w:rsidRPr="00A60018">
        <w:rPr>
          <w:lang w:val="sv-SE"/>
        </w:rPr>
        <w:tab/>
      </w:r>
      <w:r w:rsidRPr="006308AE">
        <w:rPr>
          <w:lang w:val="sv-SE"/>
        </w:rPr>
        <w:t>R1-171</w:t>
      </w:r>
      <w:r w:rsidR="006308AE" w:rsidRPr="006308AE">
        <w:rPr>
          <w:lang w:val="sv-SE"/>
        </w:rPr>
        <w:t>8433</w:t>
      </w:r>
    </w:p>
    <w:p w14:paraId="161050DA" w14:textId="08A316A3" w:rsidR="007A5B38" w:rsidRPr="001B3799" w:rsidRDefault="00CD0D9B" w:rsidP="007A5B38">
      <w:pPr>
        <w:pStyle w:val="3GPPHeader"/>
        <w:rPr>
          <w:lang w:val="en-US"/>
        </w:rPr>
      </w:pPr>
      <w:r w:rsidRPr="001B3799">
        <w:rPr>
          <w:lang w:val="en-US"/>
        </w:rPr>
        <w:t>Prague, Czech Republic</w:t>
      </w:r>
      <w:r w:rsidR="007A5B38" w:rsidRPr="001B3799">
        <w:rPr>
          <w:lang w:val="en-US"/>
        </w:rPr>
        <w:t xml:space="preserve">, </w:t>
      </w:r>
      <w:r w:rsidRPr="001B3799">
        <w:rPr>
          <w:lang w:val="en-US"/>
        </w:rPr>
        <w:t>9th – 13th October</w:t>
      </w:r>
      <w:r w:rsidR="007A5B38" w:rsidRPr="001B3799">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4E9F766" w:rsidR="00E90E49" w:rsidRPr="00327997" w:rsidRDefault="003D3C45" w:rsidP="00327997">
      <w:pPr>
        <w:pStyle w:val="3GPPHeader"/>
      </w:pPr>
      <w:r w:rsidRPr="00327997">
        <w:t>Title:</w:t>
      </w:r>
      <w:r w:rsidR="00E90E49" w:rsidRPr="00327997">
        <w:tab/>
      </w:r>
      <w:r w:rsidR="002824B7">
        <w:t>On beam indication, measurement, and reporting</w:t>
      </w:r>
    </w:p>
    <w:p w14:paraId="2D554DE3" w14:textId="10EB31A7" w:rsidR="00952A24" w:rsidRPr="00327997" w:rsidRDefault="00952A24" w:rsidP="00327997">
      <w:pPr>
        <w:pStyle w:val="3GPPHeader"/>
      </w:pPr>
      <w:r w:rsidRPr="00327997">
        <w:t>Agenda Item:</w:t>
      </w:r>
      <w:r w:rsidRPr="00327997">
        <w:tab/>
      </w:r>
      <w:r w:rsidR="00CD0D9B" w:rsidRPr="002824B7">
        <w:t>7.2</w:t>
      </w:r>
      <w:r w:rsidR="002824B7" w:rsidRPr="002824B7">
        <w:t>.2.3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bookmarkStart w:id="1" w:name="_Ref494466974"/>
      <w:r>
        <w:t>Introduction</w:t>
      </w:r>
      <w:bookmarkEnd w:id="1"/>
    </w:p>
    <w:p w14:paraId="4C3FF875" w14:textId="08C68255" w:rsidR="00BF7642" w:rsidRDefault="002824B7" w:rsidP="002611E7">
      <w:pPr>
        <w:pStyle w:val="BodyText"/>
      </w:pPr>
      <w:r>
        <w:t>In</w:t>
      </w:r>
      <w:r w:rsidRPr="002824B7">
        <w:t xml:space="preserve"> </w:t>
      </w:r>
      <w:r w:rsidR="00DC1578">
        <w:t>RAN1 Ad Hoc #3 (</w:t>
      </w:r>
      <w:r>
        <w:t>Nagoya</w:t>
      </w:r>
      <w:r w:rsidR="00DC1578">
        <w:t>)</w:t>
      </w:r>
      <w:r>
        <w:t xml:space="preserve">, good progress was made in </w:t>
      </w:r>
      <w:r w:rsidR="001427CA">
        <w:t>defining</w:t>
      </w:r>
      <w:r>
        <w:t xml:space="preserve"> a configuration framework forming the basis for dynamic indication of QCL</w:t>
      </w:r>
      <w:r w:rsidR="001427CA">
        <w:t xml:space="preserve"> (including spatial QCL)</w:t>
      </w:r>
      <w:r>
        <w:t xml:space="preserve"> for both PDSCH and PDCCH reception.</w:t>
      </w:r>
      <w:r w:rsidR="001427CA">
        <w:t xml:space="preserve"> While the focus was on supporting non-simultaneous multi-beam transmission in a single TRP mode, the framework is forward compatible to both simultaneous multi-beam and multi-TRP modes. </w:t>
      </w:r>
      <w:r w:rsidR="005B721B">
        <w:t xml:space="preserve">In the Appendix </w:t>
      </w:r>
      <w:r>
        <w:t xml:space="preserve">the </w:t>
      </w:r>
      <w:r w:rsidR="005B721B">
        <w:t xml:space="preserve">agreements made in </w:t>
      </w:r>
      <w:r w:rsidR="001427CA">
        <w:t>the last meeting are</w:t>
      </w:r>
      <w:r>
        <w:t xml:space="preserve"> listed. In this contribution we address some of the FFS</w:t>
      </w:r>
      <w:r w:rsidR="00B35B10">
        <w:t xml:space="preserve"> items in these agreements, so as to further build on the established </w:t>
      </w:r>
      <w:r w:rsidR="00D85EFD">
        <w:t>Transmission Configuration Indictor (</w:t>
      </w:r>
      <w:r w:rsidR="00B35B10">
        <w:t>TCI</w:t>
      </w:r>
      <w:r w:rsidR="00D85EFD">
        <w:t>)</w:t>
      </w:r>
      <w:r w:rsidR="00B35B10">
        <w:t xml:space="preserve"> framework.</w:t>
      </w:r>
    </w:p>
    <w:p w14:paraId="34B8CB7C" w14:textId="0E02603A" w:rsidR="00590D61" w:rsidRDefault="00590D61" w:rsidP="002611E7">
      <w:pPr>
        <w:pStyle w:val="BodyText"/>
      </w:pPr>
      <w:r>
        <w:t>We also address the FFS items in the agreement from last meeting regarding L1-RSRP measurement and reporting on SS blocks.</w:t>
      </w:r>
    </w:p>
    <w:p w14:paraId="3CB8F8BC" w14:textId="502EEAE0" w:rsidR="004000E8" w:rsidRDefault="000F44DA" w:rsidP="00CE0424">
      <w:pPr>
        <w:pStyle w:val="Heading1"/>
      </w:pPr>
      <w:r>
        <w:t xml:space="preserve">DL </w:t>
      </w:r>
      <w:r w:rsidR="00F61FA3">
        <w:t>QCL</w:t>
      </w:r>
      <w:r w:rsidR="002A5EA8">
        <w:t xml:space="preserve"> Indication</w:t>
      </w:r>
    </w:p>
    <w:p w14:paraId="139AF98D" w14:textId="2959C532" w:rsidR="00D74BDB" w:rsidRPr="002D0BD6" w:rsidRDefault="002D0BD6" w:rsidP="002D0BD6">
      <w:r>
        <w:t>Based on the Agreements #1 – 3 in the Appendix</w:t>
      </w:r>
      <w:r w:rsidR="009576F4">
        <w:t xml:space="preserve"> and </w:t>
      </w:r>
      <w:r w:rsidR="002C0427">
        <w:t>relevant</w:t>
      </w:r>
      <w:r w:rsidR="009576F4">
        <w:t xml:space="preserve"> RRC parameters in </w:t>
      </w:r>
      <w:r w:rsidR="002C0427">
        <w:fldChar w:fldCharType="begin"/>
      </w:r>
      <w:r w:rsidR="002C0427">
        <w:instrText xml:space="preserve"> REF _Ref494401642 \r \h </w:instrText>
      </w:r>
      <w:r w:rsidR="002C0427">
        <w:fldChar w:fldCharType="separate"/>
      </w:r>
      <w:r w:rsidR="007A004A">
        <w:t>[1]</w:t>
      </w:r>
      <w:r w:rsidR="002C0427">
        <w:fldChar w:fldCharType="end"/>
      </w:r>
      <w:r>
        <w:t xml:space="preserve">, </w:t>
      </w:r>
      <w:r>
        <w:fldChar w:fldCharType="begin"/>
      </w:r>
      <w:r>
        <w:instrText xml:space="preserve"> REF _Ref494398717 \h </w:instrText>
      </w:r>
      <w:r>
        <w:fldChar w:fldCharType="separate"/>
      </w:r>
      <w:r w:rsidR="007A004A">
        <w:t xml:space="preserve">Figure </w:t>
      </w:r>
      <w:r w:rsidR="007A004A">
        <w:rPr>
          <w:noProof/>
        </w:rPr>
        <w:t>1</w:t>
      </w:r>
      <w:r>
        <w:fldChar w:fldCharType="end"/>
      </w:r>
      <w:r>
        <w:t xml:space="preserve"> shows our view on how the TCI states and </w:t>
      </w:r>
      <w:r w:rsidR="00D74BDB">
        <w:t xml:space="preserve">one or more </w:t>
      </w:r>
      <w:r>
        <w:t xml:space="preserve">CORESETs can be RRC configured for a given UE. </w:t>
      </w:r>
      <w:r w:rsidR="002C70A5">
        <w:t xml:space="preserve">In this example, </w:t>
      </w:r>
      <w:r w:rsidRPr="002D0BD6">
        <w:rPr>
          <w:i/>
        </w:rPr>
        <w:t>M</w:t>
      </w:r>
      <w:r>
        <w:t xml:space="preserve"> TCI states </w:t>
      </w:r>
      <w:r w:rsidR="002C70A5">
        <w:t xml:space="preserve">and two CORESETs </w:t>
      </w:r>
      <w:r>
        <w:t xml:space="preserve">are configured, where each TCI state contains an RS Set comprised of </w:t>
      </w:r>
      <w:r w:rsidR="00D74BDB">
        <w:t>references (e.g., IDs) of</w:t>
      </w:r>
      <w:r>
        <w:t xml:space="preserve"> </w:t>
      </w:r>
      <w:r w:rsidR="00D74BDB">
        <w:t xml:space="preserve">one or </w:t>
      </w:r>
      <w:r>
        <w:t>more DL RSs</w:t>
      </w:r>
      <w:r w:rsidR="00D74BDB">
        <w:t>. The DL RS(s) in the RS Set serve as QCL references for the demodulation of PDSCH and potentially PDCCH depending on if a CORESET configuration is “linked” to the TCI state.</w:t>
      </w:r>
      <w:r w:rsidR="002C70A5">
        <w:t xml:space="preserve"> As discussed later, one DL RS may be used for spatial QCL purposes (e.g., SSB, CSI-RS), and another for T/F QCL purposes (e.g., TRS). </w:t>
      </w:r>
      <w:r w:rsidR="00D74BDB">
        <w:t xml:space="preserve">For PDSCH, the QCL reference is dynamically indicated by a TCI field in DCI. For PDCCH, the QCL reference is semi-statically configured </w:t>
      </w:r>
      <w:r w:rsidR="002C70A5">
        <w:t>by</w:t>
      </w:r>
      <w:r w:rsidR="00D74BDB">
        <w:t xml:space="preserve"> a reference (e.g., a “link”) to a particular TCI state.</w:t>
      </w:r>
      <w:r w:rsidR="002C70A5">
        <w:t xml:space="preserve"> For mm-wave operation, at least the DL RS in the RS Set used for spatial QCL purposes is dynamically initialized/updated based on UE measurements/reports. Mechanisms for the dynamic update of the spatial QCL reference are discussed later.</w:t>
      </w:r>
    </w:p>
    <w:p w14:paraId="5D75E315" w14:textId="582EBF39" w:rsidR="002D0BD6" w:rsidRDefault="002C70A5" w:rsidP="002D0BD6">
      <w:pPr>
        <w:keepNext/>
        <w:jc w:val="center"/>
      </w:pPr>
      <w:r>
        <w:rPr>
          <w:noProof/>
          <w:lang w:val="en-US" w:eastAsia="en-US"/>
        </w:rPr>
        <w:drawing>
          <wp:inline distT="0" distB="0" distL="0" distR="0" wp14:anchorId="38942C27" wp14:editId="2BB88BA4">
            <wp:extent cx="5029200" cy="28529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9200" cy="2852928"/>
                    </a:xfrm>
                    <a:prstGeom prst="rect">
                      <a:avLst/>
                    </a:prstGeom>
                    <a:noFill/>
                  </pic:spPr>
                </pic:pic>
              </a:graphicData>
            </a:graphic>
          </wp:inline>
        </w:drawing>
      </w:r>
    </w:p>
    <w:p w14:paraId="6AA0A81C" w14:textId="67EB0E74" w:rsidR="002D0BD6" w:rsidRDefault="002D0BD6" w:rsidP="002D0BD6">
      <w:pPr>
        <w:pStyle w:val="Caption"/>
      </w:pPr>
      <w:bookmarkStart w:id="2" w:name="_Ref494398717"/>
      <w:r>
        <w:t xml:space="preserve">Figure </w:t>
      </w:r>
      <w:r>
        <w:fldChar w:fldCharType="begin"/>
      </w:r>
      <w:r>
        <w:instrText xml:space="preserve"> SEQ Figure \* ARABIC </w:instrText>
      </w:r>
      <w:r>
        <w:fldChar w:fldCharType="separate"/>
      </w:r>
      <w:r w:rsidR="007A004A">
        <w:rPr>
          <w:noProof/>
        </w:rPr>
        <w:t>1</w:t>
      </w:r>
      <w:r>
        <w:fldChar w:fldCharType="end"/>
      </w:r>
      <w:bookmarkEnd w:id="2"/>
      <w:r>
        <w:t>: RRC configuration of TCI states and “linked” CORESETs</w:t>
      </w:r>
    </w:p>
    <w:p w14:paraId="7E3D71B8" w14:textId="7F031046" w:rsidR="00F209AC" w:rsidRDefault="00822875" w:rsidP="00F209AC">
      <w:pPr>
        <w:pStyle w:val="Heading2"/>
      </w:pPr>
      <w:r>
        <w:lastRenderedPageBreak/>
        <w:t>CORESET configuration</w:t>
      </w:r>
    </w:p>
    <w:p w14:paraId="0F7DD560" w14:textId="3301449A" w:rsidR="00024D3A" w:rsidRDefault="008F1AE8" w:rsidP="005B1D41">
      <w:r>
        <w:t xml:space="preserve">In </w:t>
      </w:r>
      <w:r w:rsidR="006308AE">
        <w:t>some</w:t>
      </w:r>
      <w:r>
        <w:t xml:space="preserve"> cases, configuration of one CORESET is sufficient to handle </w:t>
      </w:r>
      <w:r w:rsidR="00761E36">
        <w:t xml:space="preserve">beam management with </w:t>
      </w:r>
      <w:r>
        <w:t xml:space="preserve">beam indication. However, </w:t>
      </w:r>
      <w:r w:rsidR="006308AE">
        <w:t xml:space="preserve">configuration of </w:t>
      </w:r>
      <w:r>
        <w:t>multiple CORESET</w:t>
      </w:r>
      <w:r w:rsidR="006308AE">
        <w:t>s</w:t>
      </w:r>
      <w:r>
        <w:t xml:space="preserve"> may bring additional robustness. </w:t>
      </w:r>
      <w:r w:rsidR="00822875">
        <w:t xml:space="preserve">The </w:t>
      </w:r>
      <w:r w:rsidR="00024D3A">
        <w:t>example shown</w:t>
      </w:r>
      <w:r w:rsidR="00822875">
        <w:t xml:space="preserve"> </w:t>
      </w:r>
      <w:r w:rsidR="00024D3A">
        <w:t xml:space="preserve">in </w:t>
      </w:r>
      <w:r w:rsidR="00822875">
        <w:fldChar w:fldCharType="begin"/>
      </w:r>
      <w:r w:rsidR="00822875">
        <w:instrText xml:space="preserve"> REF _Ref494398717 \h </w:instrText>
      </w:r>
      <w:r w:rsidR="00822875">
        <w:fldChar w:fldCharType="separate"/>
      </w:r>
      <w:r w:rsidR="007A004A">
        <w:t xml:space="preserve">Figure </w:t>
      </w:r>
      <w:r w:rsidR="007A004A">
        <w:rPr>
          <w:noProof/>
        </w:rPr>
        <w:t>1</w:t>
      </w:r>
      <w:r w:rsidR="00822875">
        <w:fldChar w:fldCharType="end"/>
      </w:r>
      <w:r w:rsidR="00024D3A">
        <w:t xml:space="preserve"> includes the</w:t>
      </w:r>
      <w:r w:rsidR="005B1D41">
        <w:t xml:space="preserve"> configuration of two CORESETs. E</w:t>
      </w:r>
      <w:r w:rsidR="00024D3A">
        <w:t xml:space="preserve">ach </w:t>
      </w:r>
      <w:r w:rsidR="005B1D41">
        <w:t xml:space="preserve">CORESET “links” to a different TCI state in which the RS Set provides the QCL reference(s) for demodulating PDCCH candidates in the CORESET. </w:t>
      </w:r>
      <w:r w:rsidR="00024D3A">
        <w:t>Without discussing multi-TRP and/or simultaneous multi-beam transmission</w:t>
      </w:r>
      <w:r w:rsidR="00ED5CFD">
        <w:t xml:space="preserve"> (</w:t>
      </w:r>
      <w:proofErr w:type="spellStart"/>
      <w:r w:rsidR="00024D3A">
        <w:t>downscoped</w:t>
      </w:r>
      <w:proofErr w:type="spellEnd"/>
      <w:r w:rsidR="00024D3A">
        <w:t xml:space="preserve"> </w:t>
      </w:r>
      <w:r w:rsidR="00ED5CFD">
        <w:t>before Dece</w:t>
      </w:r>
      <w:bookmarkStart w:id="3" w:name="_GoBack"/>
      <w:bookmarkEnd w:id="3"/>
      <w:r w:rsidR="00ED5CFD">
        <w:t xml:space="preserve">mber release by RAN Plenary), </w:t>
      </w:r>
      <w:r w:rsidR="00024D3A">
        <w:t xml:space="preserve">a relevant use case for the configuration of two CORESETs is shown in </w:t>
      </w:r>
      <w:r w:rsidR="00ED5CFD">
        <w:fldChar w:fldCharType="begin"/>
      </w:r>
      <w:r w:rsidR="00ED5CFD">
        <w:instrText xml:space="preserve"> REF _Ref494451656 \h </w:instrText>
      </w:r>
      <w:r w:rsidR="00ED5CFD">
        <w:fldChar w:fldCharType="separate"/>
      </w:r>
      <w:r w:rsidR="007A004A">
        <w:t xml:space="preserve">Figure </w:t>
      </w:r>
      <w:r w:rsidR="007A004A">
        <w:rPr>
          <w:noProof/>
        </w:rPr>
        <w:t>2</w:t>
      </w:r>
      <w:r w:rsidR="00ED5CFD">
        <w:fldChar w:fldCharType="end"/>
      </w:r>
      <w:r w:rsidR="00ED5CFD">
        <w:t>.</w:t>
      </w:r>
    </w:p>
    <w:p w14:paraId="5F4BEA84" w14:textId="77777777" w:rsidR="00024D3A" w:rsidRDefault="00024D3A" w:rsidP="00024D3A">
      <w:pPr>
        <w:keepNext/>
        <w:jc w:val="center"/>
      </w:pPr>
      <w:r>
        <w:rPr>
          <w:noProof/>
          <w:lang w:val="en-US" w:eastAsia="en-US"/>
        </w:rPr>
        <w:drawing>
          <wp:inline distT="0" distB="0" distL="0" distR="0" wp14:anchorId="731C440D" wp14:editId="1E6BAAF9">
            <wp:extent cx="3657600" cy="12527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0" cy="1252728"/>
                    </a:xfrm>
                    <a:prstGeom prst="rect">
                      <a:avLst/>
                    </a:prstGeom>
                    <a:noFill/>
                  </pic:spPr>
                </pic:pic>
              </a:graphicData>
            </a:graphic>
          </wp:inline>
        </w:drawing>
      </w:r>
    </w:p>
    <w:p w14:paraId="67D83D24" w14:textId="486F65AE" w:rsidR="00024D3A" w:rsidRDefault="00024D3A" w:rsidP="00024D3A">
      <w:pPr>
        <w:pStyle w:val="Caption"/>
      </w:pPr>
      <w:bookmarkStart w:id="4" w:name="_Ref494451656"/>
      <w:r>
        <w:t xml:space="preserve">Figure </w:t>
      </w:r>
      <w:r>
        <w:fldChar w:fldCharType="begin"/>
      </w:r>
      <w:r>
        <w:instrText xml:space="preserve"> SEQ Figure \* ARABIC </w:instrText>
      </w:r>
      <w:r>
        <w:fldChar w:fldCharType="separate"/>
      </w:r>
      <w:r w:rsidR="007A004A">
        <w:rPr>
          <w:noProof/>
        </w:rPr>
        <w:t>2</w:t>
      </w:r>
      <w:r>
        <w:fldChar w:fldCharType="end"/>
      </w:r>
      <w:bookmarkEnd w:id="4"/>
      <w:r>
        <w:t>: Robust PDCCH transmission by TDM switching between two different BPLs</w:t>
      </w:r>
    </w:p>
    <w:p w14:paraId="661A4291" w14:textId="60512358" w:rsidR="00024D3A" w:rsidRDefault="00024D3A" w:rsidP="00F209AC">
      <w:r>
        <w:t>This use case is suppo</w:t>
      </w:r>
      <w:r w:rsidR="007E4762">
        <w:t>rted by the following, e</w:t>
      </w:r>
      <w:r w:rsidR="00ED5CFD">
        <w:t xml:space="preserve">xtracted from Agreement #5 </w:t>
      </w:r>
      <w:r w:rsidR="005B1D41">
        <w:t xml:space="preserve">shown </w:t>
      </w:r>
      <w:r w:rsidR="00ED5CFD">
        <w:t xml:space="preserve">in the </w:t>
      </w:r>
      <w:r w:rsidR="005B1D41">
        <w:t>Appendix in full:</w:t>
      </w:r>
    </w:p>
    <w:p w14:paraId="3EE58F20" w14:textId="601F8BA4" w:rsidR="00024D3A" w:rsidRDefault="00024D3A" w:rsidP="00F209AC">
      <w:r>
        <w:rPr>
          <w:noProof/>
          <w:lang w:val="en-US" w:eastAsia="en-US"/>
        </w:rPr>
        <mc:AlternateContent>
          <mc:Choice Requires="wps">
            <w:drawing>
              <wp:inline distT="0" distB="0" distL="0" distR="0" wp14:anchorId="353CF542" wp14:editId="0D8788CA">
                <wp:extent cx="5943600" cy="390108"/>
                <wp:effectExtent l="0" t="0" r="12700" b="28575"/>
                <wp:docPr id="10" name="Text Box 10"/>
                <wp:cNvGraphicFramePr/>
                <a:graphic xmlns:a="http://schemas.openxmlformats.org/drawingml/2006/main">
                  <a:graphicData uri="http://schemas.microsoft.com/office/word/2010/wordprocessingShape">
                    <wps:wsp>
                      <wps:cNvSpPr txBox="1"/>
                      <wps:spPr>
                        <a:xfrm>
                          <a:off x="0" y="0"/>
                          <a:ext cx="5943600" cy="39010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230CF1C" w14:textId="77777777" w:rsidR="00024D3A" w:rsidRPr="006B13A0" w:rsidRDefault="00024D3A" w:rsidP="00024D3A">
                            <w:pPr>
                              <w:numPr>
                                <w:ilvl w:val="0"/>
                                <w:numId w:val="16"/>
                              </w:numPr>
                              <w:overflowPunct/>
                              <w:autoSpaceDE/>
                              <w:autoSpaceDN/>
                              <w:adjustRightInd/>
                              <w:spacing w:after="0"/>
                              <w:jc w:val="left"/>
                              <w:textAlignment w:val="auto"/>
                              <w:rPr>
                                <w:rFonts w:eastAsia="MS Mincho"/>
                                <w:lang w:val="en-US" w:eastAsia="ja-JP"/>
                              </w:rPr>
                            </w:pPr>
                            <w:r w:rsidRPr="006B13A0">
                              <w:rPr>
                                <w:rFonts w:eastAsia="MS Mincho"/>
                                <w:lang w:val="en-US" w:eastAsia="ja-JP"/>
                              </w:rPr>
                              <w:t>NR-PDCCH transmission supports robustness against beam pair link blocking</w:t>
                            </w:r>
                          </w:p>
                          <w:p w14:paraId="1A355DBE" w14:textId="26CAA8C9" w:rsidR="00024D3A" w:rsidRPr="0082116D" w:rsidRDefault="00024D3A" w:rsidP="00024D3A">
                            <w:pPr>
                              <w:numPr>
                                <w:ilvl w:val="1"/>
                                <w:numId w:val="16"/>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3E60F5BA" w14:textId="6F763333" w:rsidR="00024D3A" w:rsidRDefault="00024D3A" w:rsidP="00024D3A">
                            <w:pPr>
                              <w:numPr>
                                <w:ilvl w:val="1"/>
                                <w:numId w:val="16"/>
                              </w:numPr>
                              <w:overflowPunct/>
                              <w:autoSpaceDE/>
                              <w:autoSpaceDN/>
                              <w:adjustRightInd/>
                              <w:spacing w:after="0"/>
                              <w:jc w:val="left"/>
                              <w:textAlignment w:val="auto"/>
                              <w:rPr>
                                <w:rFonts w:eastAsia="MS Mincho"/>
                                <w:lang w:val="en-US" w:eastAsia="ja-JP"/>
                              </w:rPr>
                            </w:pPr>
                            <w:r w:rsidRPr="006B13A0">
                              <w:rPr>
                                <w:rFonts w:eastAsia="MS Mincho"/>
                                <w:lang w:val="en-US" w:eastAsia="ja-JP"/>
                              </w:rPr>
                              <w:t>UE can be configured to monitor NR-PDCCH on different beam pair link(s) in different NR-PDCCH OFDM symbols</w:t>
                            </w:r>
                          </w:p>
                          <w:p w14:paraId="249710FB" w14:textId="32769C96" w:rsidR="00024D3A" w:rsidRPr="00024D3A" w:rsidRDefault="00024D3A" w:rsidP="00024D3A">
                            <w:pPr>
                              <w:numPr>
                                <w:ilvl w:val="1"/>
                                <w:numId w:val="16"/>
                              </w:numPr>
                              <w:overflowPunct/>
                              <w:autoSpaceDE/>
                              <w:autoSpaceDN/>
                              <w:adjustRightInd/>
                              <w:spacing w:after="0"/>
                              <w:jc w:val="left"/>
                              <w:textAlignment w:val="auto"/>
                              <w:rPr>
                                <w:rFonts w:eastAsia="MS Mincho"/>
                                <w:lang w:val="en-US" w:eastAsia="ja-JP"/>
                              </w:rPr>
                            </w:pPr>
                            <w:r>
                              <w:rPr>
                                <w:rFonts w:eastAsia="MS Mincho"/>
                                <w:lang w:val="en-US" w:eastAsia="ja-JP"/>
                              </w:rPr>
                              <w: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53CF542" id="_x0000_t202" coordsize="21600,21600" o:spt="202" path="m,l,21600r21600,l21600,xe">
                <v:stroke joinstyle="miter"/>
                <v:path gradientshapeok="t" o:connecttype="rect"/>
              </v:shapetype>
              <v:shape id="Text Box 10" o:spid="_x0000_s1026" type="#_x0000_t202" style="width:468pt;height:30.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olSkgIAALQFAAAOAAAAZHJzL2Uyb0RvYy54bWysVMFOGzEQvVfqP1i+l00gUBKxQSkoVSUE&#10;qFBxdrw2WeH1WLZJNv36Pns3IVAuVL3s2p43zzPPM3N23jaGrZQPNdmSDw8GnCkrqartY8l/3c+/&#10;nHIWorCVMGRVyTcq8PPp509nazdRh7QkUynPQGLDZO1KvozRTYoiyKVqRDggpyyMmnwjIrb+sai8&#10;WIO9McXhYHBSrMlXzpNUIeD0sjPyaebXWsl4o3VQkZmSI7aYvz5/F+lbTM/E5NELt6xlH4b4hyga&#10;UVtcuqO6FFGwZ1//RdXU0lMgHQ8kNQVpXUuVc0A2w8GbbO6WwqmcC8QJbidT+H+08np161ld4e0g&#10;jxUN3uhetZF9o5bhCPqsXZgAducAjC3Ogd2eBxymtFvtm/RHQgx2UG126iY2icPj8ejoZACThO1o&#10;jHRPE03x4u18iN8VNSwtSu7xellUsboKsYNuIemyQKau5rUxeZMqRl0Yz1YCb21ijhHkr1DGsnXJ&#10;T46OB5n4lS1R7/wXRsinPrw9FPiMTdepXFt9WEmhTom8ihujEsbYn0pD2yzIOzEKKZXdxZnRCaWR&#10;0Ucce/xLVB9x7vKAR76ZbNw5N7Ul36n0WtrqaSut7vB4w7280zK2i7avnAVVGxSOp671gpPzGkJf&#10;iRBvhUevoSAwP+INPtoQXof6FWdL8r/fO094tACsnK3RuyW3GC6cmR8WrTEejkYgjXkzOv56iI3f&#10;tyz2Lfa5uSAUzBBzysm8TPhotkvtqXnAkJmlO2ESVuLmksvot5uL2E0UjCmpZrMMQ3s7Ea/snZOJ&#10;PMmbCuy+fRDe9QUe0RrXtO1yMXlT5x02eQY3e440r3MTJIE7VXvhMRpyG/VjLM2e/X1GvQzb6R8A&#10;AAD//wMAUEsDBBQABgAIAAAAIQCPYZW12wAAAAQBAAAPAAAAZHJzL2Rvd25yZXYueG1sTI9BS8NA&#10;EIXvgv9hGcGb3URl0ZhNKYoHaS9tRfQ2zY5JNDsbsts2/ntHL3p58HjDe9+U88n36kBj7AJbyGcZ&#10;KOI6uI4bC8/bx4sbUDEhO+wDk4UvijCvTk9KLFw48poOm9QoKeFYoIU2paHQOtYteYyzMBBL9h5G&#10;j0ns2Gg34lHKfa8vs8xojx3LQosD3bdUf2723sJau+2KH97M4uN1uYxsnlb5y2Dt+dm0uAOVaEp/&#10;x/CDL+hQCdMu7NlF1VuQR9KvSnZ7ZcTuLJj8GnRV6v/w1TcAAAD//wMAUEsBAi0AFAAGAAgAAAAh&#10;ALaDOJL+AAAA4QEAABMAAAAAAAAAAAAAAAAAAAAAAFtDb250ZW50X1R5cGVzXS54bWxQSwECLQAU&#10;AAYACAAAACEAOP0h/9YAAACUAQAACwAAAAAAAAAAAAAAAAAvAQAAX3JlbHMvLnJlbHNQSwECLQAU&#10;AAYACAAAACEAWeKJUpICAAC0BQAADgAAAAAAAAAAAAAAAAAuAgAAZHJzL2Uyb0RvYy54bWxQSwEC&#10;LQAUAAYACAAAACEAj2GVtdsAAAAEAQAADwAAAAAAAAAAAAAAAADsBAAAZHJzL2Rvd25yZXYueG1s&#10;UEsFBgAAAAAEAAQA8wAAAPQFAAAAAA==&#10;" fillcolor="white [3201]" strokeweight=".5pt">
                <v:textbox style="mso-fit-shape-to-text:t">
                  <w:txbxContent>
                    <w:p w14:paraId="5230CF1C" w14:textId="77777777" w:rsidR="00024D3A" w:rsidRPr="006B13A0" w:rsidRDefault="00024D3A" w:rsidP="00024D3A">
                      <w:pPr>
                        <w:numPr>
                          <w:ilvl w:val="0"/>
                          <w:numId w:val="16"/>
                        </w:numPr>
                        <w:overflowPunct/>
                        <w:autoSpaceDE/>
                        <w:autoSpaceDN/>
                        <w:adjustRightInd/>
                        <w:spacing w:after="0"/>
                        <w:jc w:val="left"/>
                        <w:textAlignment w:val="auto"/>
                        <w:rPr>
                          <w:rFonts w:eastAsia="MS Mincho"/>
                          <w:lang w:val="en-US" w:eastAsia="ja-JP"/>
                        </w:rPr>
                      </w:pPr>
                      <w:r w:rsidRPr="006B13A0">
                        <w:rPr>
                          <w:rFonts w:eastAsia="MS Mincho"/>
                          <w:lang w:val="en-US" w:eastAsia="ja-JP"/>
                        </w:rPr>
                        <w:t>NR-PDCCH transmission supports robustness against beam pair link blocking</w:t>
                      </w:r>
                    </w:p>
                    <w:p w14:paraId="1A355DBE" w14:textId="26CAA8C9" w:rsidR="00024D3A" w:rsidRPr="0082116D" w:rsidRDefault="00024D3A" w:rsidP="00024D3A">
                      <w:pPr>
                        <w:numPr>
                          <w:ilvl w:val="1"/>
                          <w:numId w:val="16"/>
                        </w:numPr>
                        <w:overflowPunct/>
                        <w:autoSpaceDE/>
                        <w:autoSpaceDN/>
                        <w:adjustRightInd/>
                        <w:spacing w:after="0"/>
                        <w:jc w:val="left"/>
                        <w:textAlignment w:val="auto"/>
                        <w:rPr>
                          <w:rFonts w:eastAsia="MS Mincho"/>
                          <w:lang w:val="en-US" w:eastAsia="ja-JP"/>
                        </w:rPr>
                      </w:pPr>
                      <w:r>
                        <w:rPr>
                          <w:rFonts w:eastAsia="MS Mincho"/>
                          <w:lang w:val="en-US" w:eastAsia="ja-JP"/>
                        </w:rPr>
                        <w:t>…</w:t>
                      </w:r>
                    </w:p>
                    <w:p w14:paraId="3E60F5BA" w14:textId="6F763333" w:rsidR="00024D3A" w:rsidRDefault="00024D3A" w:rsidP="00024D3A">
                      <w:pPr>
                        <w:numPr>
                          <w:ilvl w:val="1"/>
                          <w:numId w:val="16"/>
                        </w:numPr>
                        <w:overflowPunct/>
                        <w:autoSpaceDE/>
                        <w:autoSpaceDN/>
                        <w:adjustRightInd/>
                        <w:spacing w:after="0"/>
                        <w:jc w:val="left"/>
                        <w:textAlignment w:val="auto"/>
                        <w:rPr>
                          <w:rFonts w:eastAsia="MS Mincho"/>
                          <w:lang w:val="en-US" w:eastAsia="ja-JP"/>
                        </w:rPr>
                      </w:pPr>
                      <w:r w:rsidRPr="006B13A0">
                        <w:rPr>
                          <w:rFonts w:eastAsia="MS Mincho"/>
                          <w:lang w:val="en-US" w:eastAsia="ja-JP"/>
                        </w:rPr>
                        <w:t>UE can be configured to monitor NR-PDCCH on different beam pair link(s) in different NR-PDCCH OFDM symbols</w:t>
                      </w:r>
                    </w:p>
                    <w:p w14:paraId="249710FB" w14:textId="32769C96" w:rsidR="00024D3A" w:rsidRPr="00024D3A" w:rsidRDefault="00024D3A" w:rsidP="00024D3A">
                      <w:pPr>
                        <w:numPr>
                          <w:ilvl w:val="1"/>
                          <w:numId w:val="16"/>
                        </w:numPr>
                        <w:overflowPunct/>
                        <w:autoSpaceDE/>
                        <w:autoSpaceDN/>
                        <w:adjustRightInd/>
                        <w:spacing w:after="0"/>
                        <w:jc w:val="left"/>
                        <w:textAlignment w:val="auto"/>
                        <w:rPr>
                          <w:rFonts w:eastAsia="MS Mincho"/>
                          <w:lang w:val="en-US" w:eastAsia="ja-JP"/>
                        </w:rPr>
                      </w:pPr>
                      <w:r>
                        <w:rPr>
                          <w:rFonts w:eastAsia="MS Mincho"/>
                          <w:lang w:val="en-US" w:eastAsia="ja-JP"/>
                        </w:rPr>
                        <w:t>…</w:t>
                      </w:r>
                    </w:p>
                  </w:txbxContent>
                </v:textbox>
                <w10:anchorlock/>
              </v:shape>
            </w:pict>
          </mc:Fallback>
        </mc:AlternateContent>
      </w:r>
    </w:p>
    <w:p w14:paraId="64250EEC" w14:textId="1872F66F" w:rsidR="00E014BD" w:rsidRDefault="00E014BD" w:rsidP="00F209AC">
      <w:r>
        <w:t xml:space="preserve">The key point is that </w:t>
      </w:r>
      <w:r w:rsidR="00ED5CFD">
        <w:t xml:space="preserve">PDCCH is monitored on different BPLs in </w:t>
      </w:r>
      <w:r w:rsidR="00ED5CFD" w:rsidRPr="00ED5CFD">
        <w:rPr>
          <w:i/>
        </w:rPr>
        <w:t>different</w:t>
      </w:r>
      <w:r w:rsidR="00ED5CFD">
        <w:t xml:space="preserve"> OFDM symbols. Within the control channel agenda item, it has been agreed that a CORESET can indeed span more than one OFDM symbol</w:t>
      </w:r>
      <w:r w:rsidR="00002149">
        <w:t>. However</w:t>
      </w:r>
      <w:r w:rsidR="007E4762">
        <w:t xml:space="preserve">, the REG-to-CCE mapping </w:t>
      </w:r>
      <w:r w:rsidR="00ED5CFD">
        <w:t xml:space="preserve">is based on REG bundles that are defined with time-first mapping spanning all OFDM symbols </w:t>
      </w:r>
      <w:r w:rsidR="007E4762">
        <w:t>in the</w:t>
      </w:r>
      <w:r w:rsidR="00ED5CFD">
        <w:t xml:space="preserve"> CORESET. Moreover, the UE assume</w:t>
      </w:r>
      <w:r w:rsidR="00002149">
        <w:t>s</w:t>
      </w:r>
      <w:r w:rsidR="00ED5CFD">
        <w:t xml:space="preserve"> the same precoding within a REG bundle.</w:t>
      </w:r>
      <w:r w:rsidR="007E4762">
        <w:t xml:space="preserve"> </w:t>
      </w:r>
      <w:r w:rsidR="005B1D41">
        <w:t>Hence, f</w:t>
      </w:r>
      <w:r w:rsidR="00002149">
        <w:t xml:space="preserve">or the case of </w:t>
      </w:r>
      <w:proofErr w:type="spellStart"/>
      <w:r w:rsidR="00002149">
        <w:t>analog</w:t>
      </w:r>
      <w:proofErr w:type="spellEnd"/>
      <w:r w:rsidR="00002149">
        <w:t xml:space="preserve"> beamfor</w:t>
      </w:r>
      <w:r w:rsidR="005744EE">
        <w:t xml:space="preserve">ming, e.g., at mm-wave frequencies, </w:t>
      </w:r>
      <w:r w:rsidR="00002149">
        <w:t xml:space="preserve">where </w:t>
      </w:r>
      <w:r w:rsidR="005F59D9">
        <w:t xml:space="preserve">the same precoding (beamforming) applies across the entire </w:t>
      </w:r>
      <w:r w:rsidR="005B1D41">
        <w:t xml:space="preserve">frequency </w:t>
      </w:r>
      <w:r w:rsidR="005F59D9">
        <w:t xml:space="preserve">band, this automatically implies that for the UE to monitor </w:t>
      </w:r>
      <w:r w:rsidR="005744EE">
        <w:t xml:space="preserve">PDCCH in different OFDM symbols, different CORESETs must be configured in non-overlapping symbols. The different CORESETs correspond to different BPLs, and each one is linked to a different TCI state as shown in </w:t>
      </w:r>
      <w:r w:rsidR="005744EE">
        <w:fldChar w:fldCharType="begin"/>
      </w:r>
      <w:r w:rsidR="005744EE">
        <w:instrText xml:space="preserve"> REF _Ref494398717 \h </w:instrText>
      </w:r>
      <w:r w:rsidR="005744EE">
        <w:fldChar w:fldCharType="separate"/>
      </w:r>
      <w:r w:rsidR="007A004A">
        <w:t xml:space="preserve">Figure </w:t>
      </w:r>
      <w:r w:rsidR="007A004A">
        <w:rPr>
          <w:noProof/>
        </w:rPr>
        <w:t>1</w:t>
      </w:r>
      <w:r w:rsidR="005744EE">
        <w:fldChar w:fldCharType="end"/>
      </w:r>
      <w:r w:rsidR="005B1D41">
        <w:t>.</w:t>
      </w:r>
    </w:p>
    <w:p w14:paraId="0B04E13B" w14:textId="4DA96A40" w:rsidR="005B1D41" w:rsidRDefault="00E014BD" w:rsidP="00F209AC">
      <w:r>
        <w:t xml:space="preserve">According to Agreement #3 in the Appendix, two alternatives </w:t>
      </w:r>
      <w:r w:rsidR="005B1D41">
        <w:t xml:space="preserve">are identified for configuring the reference (i.e., a “link”) to the </w:t>
      </w:r>
      <w:r>
        <w:t>TCI state: in Alt-1 the reference is configured on a per-CORESET basis; in Alt-2 it is configure on a per-search space basis. In our view, Alt-2 provides more flexibility considering deployment also at sub-6 GHz frequencies</w:t>
      </w:r>
      <w:r w:rsidR="00C44334">
        <w:t xml:space="preserve">. </w:t>
      </w:r>
      <w:r w:rsidR="005B1D41">
        <w:t>An important restriction</w:t>
      </w:r>
      <w:r w:rsidR="00C44334">
        <w:t xml:space="preserve">, however, is that at mm-wave frequencies with </w:t>
      </w:r>
      <w:proofErr w:type="spellStart"/>
      <w:r w:rsidR="00C44334">
        <w:t>analog</w:t>
      </w:r>
      <w:proofErr w:type="spellEnd"/>
      <w:r w:rsidR="00C44334">
        <w:t xml:space="preserve"> beamforming, all search spaces within a particular CORESET must be configured with a reference to the same TCI state, since the same beamforming applies to all REG bundles within t</w:t>
      </w:r>
      <w:r w:rsidR="005B1D41">
        <w:t>he CORESET</w:t>
      </w:r>
      <w:r w:rsidR="00312C14">
        <w:t>, hence the same spatial QCL reference is needed for demodulating all PDCCH candidates</w:t>
      </w:r>
      <w:r w:rsidR="005B1D41">
        <w:t>. Since Alt-2 is a superset of Alt-1, and since it offers more flexibility across a range of deployment scenarios, Alt-2 is our preference.</w:t>
      </w:r>
      <w:r w:rsidR="00312C14" w:rsidRPr="00312C14">
        <w:t xml:space="preserve"> </w:t>
      </w:r>
      <w:r w:rsidR="00312C14">
        <w:t>Ultimately, this should be decided in the control channel agenda item which is why we make an observation here instead of a proposal.</w:t>
      </w:r>
    </w:p>
    <w:p w14:paraId="6F2494A7" w14:textId="424E32D3" w:rsidR="005B69C3" w:rsidRPr="00D85EFD" w:rsidRDefault="00E014BD" w:rsidP="00312C14">
      <w:pPr>
        <w:pStyle w:val="Observation"/>
      </w:pPr>
      <w:bookmarkStart w:id="5" w:name="_Toc494622252"/>
      <w:r>
        <w:t xml:space="preserve">Configuration of a reference to a TCI </w:t>
      </w:r>
      <w:r w:rsidR="00C44334">
        <w:t xml:space="preserve">state on a per-search space basis offers more flexibility </w:t>
      </w:r>
      <w:r w:rsidR="005B1D41">
        <w:t xml:space="preserve">than on a per-CORESET basis </w:t>
      </w:r>
      <w:r w:rsidR="00C44334">
        <w:t xml:space="preserve">considering a range of deployment scenarios. </w:t>
      </w:r>
      <w:r w:rsidR="005B1D41">
        <w:t>An important restriction, however,</w:t>
      </w:r>
      <w:r w:rsidR="00C44334">
        <w:t xml:space="preserve"> </w:t>
      </w:r>
      <w:r w:rsidR="005B1D41">
        <w:t xml:space="preserve">is that with </w:t>
      </w:r>
      <w:proofErr w:type="spellStart"/>
      <w:r w:rsidR="005B1D41">
        <w:t>analog</w:t>
      </w:r>
      <w:proofErr w:type="spellEnd"/>
      <w:r w:rsidR="005B1D41">
        <w:t xml:space="preserve"> beamforming, e.g., at </w:t>
      </w:r>
      <w:r w:rsidR="00C44334">
        <w:t>mm-wave frequ</w:t>
      </w:r>
      <w:r w:rsidR="005B1D41">
        <w:t>encies, the TCI reference needs to be configured the same for all UE specific search spaces within a CORESET.</w:t>
      </w:r>
      <w:bookmarkEnd w:id="5"/>
    </w:p>
    <w:p w14:paraId="3095554E" w14:textId="21A2CCD3" w:rsidR="00D85EFD" w:rsidRDefault="003C5D72" w:rsidP="00D85EFD">
      <w:pPr>
        <w:pStyle w:val="Heading2"/>
      </w:pPr>
      <w:r>
        <w:t>Mechanisms for updating a spatial QCL reference a TCI state</w:t>
      </w:r>
    </w:p>
    <w:p w14:paraId="7D9870E6" w14:textId="346F6786" w:rsidR="00CA5890" w:rsidRPr="00CA5890" w:rsidRDefault="00CA5890" w:rsidP="00CA5890">
      <w:r>
        <w:t>Agreement #1 contains the following FFS item on mechanisms for updating the spatial QCL reference within the RS Set of a TCI state:</w:t>
      </w:r>
    </w:p>
    <w:p w14:paraId="1EAE60E9" w14:textId="04330BED" w:rsidR="00CA5890" w:rsidRPr="00CA5890" w:rsidRDefault="00CA5890" w:rsidP="00CA5890">
      <w:r>
        <w:rPr>
          <w:noProof/>
          <w:lang w:val="en-US" w:eastAsia="en-US"/>
        </w:rPr>
        <w:lastRenderedPageBreak/>
        <mc:AlternateContent>
          <mc:Choice Requires="wps">
            <w:drawing>
              <wp:inline distT="0" distB="0" distL="0" distR="0" wp14:anchorId="355D257E" wp14:editId="5174148F">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5C204F" w14:textId="77777777" w:rsidR="00CA5890" w:rsidRPr="00AA51AF" w:rsidRDefault="00CA5890" w:rsidP="00CA5890">
                            <w:pPr>
                              <w:numPr>
                                <w:ilvl w:val="0"/>
                                <w:numId w:val="17"/>
                              </w:numPr>
                              <w:overflowPunct/>
                              <w:autoSpaceDE/>
                              <w:autoSpaceDN/>
                              <w:adjustRightInd/>
                              <w:spacing w:after="0"/>
                              <w:jc w:val="left"/>
                              <w:textAlignment w:val="auto"/>
                              <w:rPr>
                                <w:lang w:val="en-US" w:eastAsia="x-none"/>
                              </w:rPr>
                            </w:pPr>
                            <w:r w:rsidRPr="00BD2B69">
                              <w:rPr>
                                <w:lang w:val="en-US" w:eastAsia="x-none"/>
                              </w:rPr>
                              <w:t>FFS: Mechanisms to initialize/update the ID of a DL RS(s) in the RS Set used at least for spatial QCL purposes</w:t>
                            </w:r>
                          </w:p>
                          <w:p w14:paraId="5950484B" w14:textId="77777777" w:rsidR="00CA5890" w:rsidRPr="00BD2B69" w:rsidRDefault="00CA5890" w:rsidP="00CA5890">
                            <w:pPr>
                              <w:numPr>
                                <w:ilvl w:val="1"/>
                                <w:numId w:val="16"/>
                              </w:numPr>
                              <w:tabs>
                                <w:tab w:val="left" w:pos="1440"/>
                              </w:tabs>
                              <w:overflowPunct/>
                              <w:autoSpaceDE/>
                              <w:autoSpaceDN/>
                              <w:adjustRightInd/>
                              <w:spacing w:after="0"/>
                              <w:jc w:val="left"/>
                              <w:textAlignment w:val="auto"/>
                              <w:rPr>
                                <w:lang w:val="en-US" w:eastAsia="x-none"/>
                              </w:rPr>
                            </w:pPr>
                            <w:r w:rsidRPr="00BD2B69">
                              <w:rPr>
                                <w:lang w:val="en-US" w:eastAsia="x-none"/>
                              </w:rPr>
                              <w:t xml:space="preserve">At least the following two mechanisms are FFS: (1) explicit </w:t>
                            </w:r>
                            <w:proofErr w:type="spellStart"/>
                            <w:r w:rsidRPr="00BD2B69">
                              <w:rPr>
                                <w:lang w:val="en-US" w:eastAsia="x-none"/>
                              </w:rPr>
                              <w:t>signalling</w:t>
                            </w:r>
                            <w:proofErr w:type="spellEnd"/>
                            <w:r w:rsidRPr="00BD2B69">
                              <w:rPr>
                                <w:lang w:val="en-US" w:eastAsia="x-none"/>
                              </w:rPr>
                              <w:t xml:space="preserve"> to the UE of the DL RS(s) ID and corresponding TCI state (2) implicit association of the DL RS ID(s) to a TCI state based on measurements by the UE.</w:t>
                            </w:r>
                          </w:p>
                          <w:p w14:paraId="6FE656A0" w14:textId="6F087E2A" w:rsidR="00CA5890" w:rsidRPr="00CA5890" w:rsidRDefault="00CA5890" w:rsidP="00CA5890">
                            <w:pPr>
                              <w:numPr>
                                <w:ilvl w:val="1"/>
                                <w:numId w:val="16"/>
                              </w:numPr>
                              <w:tabs>
                                <w:tab w:val="left" w:pos="1440"/>
                              </w:tabs>
                              <w:overflowPunct/>
                              <w:autoSpaceDE/>
                              <w:autoSpaceDN/>
                              <w:adjustRightInd/>
                              <w:spacing w:after="0"/>
                              <w:jc w:val="left"/>
                              <w:textAlignment w:val="auto"/>
                              <w:rPr>
                                <w:lang w:val="en-US" w:eastAsia="x-none"/>
                              </w:rPr>
                            </w:pPr>
                            <w:r w:rsidRPr="00BD2B69">
                              <w:rPr>
                                <w:lang w:val="en-US" w:eastAsia="x-none"/>
                              </w:rPr>
                              <w:t>The mechanisms used for different RS types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55D257E" id="Text Box 3"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6j5lgIAALoFAAAOAAAAZHJzL2Uyb0RvYy54bWysVE1PGzEQvVfqf7B8L7shH4WIDUpBqSoh&#10;QIWKs+O1iYXtsWyT3fTXd+zdLIFyoepl1/a8eZ55npmz89ZoshU+KLAVHR2VlAjLoVb2saK/7ldf&#10;TigJkdmaabCiojsR6Pni86ezxs3FMWxA18ITJLFh3riKbmJ086IIfCMMC0fghEWjBG9YxK1/LGrP&#10;GmQ3ujguy1nRgK+dBy5CwNPLzkgXmV9KweONlEFEoiuKscX89fm7Tt9iccbmj565jeJ9GOwfojBM&#10;Wbx0oLpkkZFnr/6iMop7CCDjEQdTgJSKi5wDZjMq32Rzt2FO5FxQnOAGmcL/o+XX21tPVF3RMSWW&#10;GXyie9FG8g1aMk7qNC7MEXTnEBZbPMZX3p8HPExJt9Kb9Md0CNpR592gbSLjeDg9nYxnJZo42kbT&#10;yXhczhJP8eLufIjfBRiSFhX1+HhZU7a9CrGD7iHptgBa1Suldd6kghEX2pMtw6fWMQeJ5K9Q2pKm&#10;orPxtMzEr2yJevBfa8af+vAOUMinbbpO5NLqw0oSdVLkVdxpkTDa/hQSpc2KvBMj41zYIc6MTiiJ&#10;GX3Esce/RPUR5y4P9Mg3g42Ds1EWfKfSa2nrp720ssPjGx7knZaxXbe5poZKWUO9wwLy0DVgcHyl&#10;UO8rFuIt89hxWBg4ReINfqQGfCToV5RswP9+7zzhsRHQSkmDHVxRiyOGEv3DYoOcjiaT1PB5M5l+&#10;PcaNP7SsDy322VwA1s0Ip5XjeZnwUe+X0oN5wFGzTHeiiVmON1eUR7/fXMRuruCw4mK5zDBscsfi&#10;lb1zPJEnlVOd3bcPzLu+ziO2yDXse53N35R7h02ewS2fI6xU7oWkc6dqrz8OiNxN/TBLE+hwn1Ev&#10;I3fxB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DLe6j5lgIAALoFAAAOAAAAAAAAAAAAAAAAAC4CAABkcnMvZTJvRG9jLnht&#10;bFBLAQItABQABgAIAAAAIQDkSytV3AAAAAUBAAAPAAAAAAAAAAAAAAAAAPAEAABkcnMvZG93bnJl&#10;di54bWxQSwUGAAAAAAQABADzAAAA+QUAAAAA&#10;" fillcolor="white [3201]" strokeweight=".5pt">
                <v:textbox style="mso-fit-shape-to-text:t">
                  <w:txbxContent>
                    <w:p w14:paraId="305C204F" w14:textId="77777777" w:rsidR="00CA5890" w:rsidRPr="00AA51AF" w:rsidRDefault="00CA5890" w:rsidP="00CA5890">
                      <w:pPr>
                        <w:numPr>
                          <w:ilvl w:val="0"/>
                          <w:numId w:val="17"/>
                        </w:numPr>
                        <w:overflowPunct/>
                        <w:autoSpaceDE/>
                        <w:autoSpaceDN/>
                        <w:adjustRightInd/>
                        <w:spacing w:after="0"/>
                        <w:jc w:val="left"/>
                        <w:textAlignment w:val="auto"/>
                        <w:rPr>
                          <w:lang w:val="en-US" w:eastAsia="x-none"/>
                        </w:rPr>
                      </w:pPr>
                      <w:r w:rsidRPr="00BD2B69">
                        <w:rPr>
                          <w:lang w:val="en-US" w:eastAsia="x-none"/>
                        </w:rPr>
                        <w:t>FFS: Mechanisms to initialize/update the ID of a DL RS(s) in the RS Set used at least for spatial QCL purposes</w:t>
                      </w:r>
                    </w:p>
                    <w:p w14:paraId="5950484B" w14:textId="77777777" w:rsidR="00CA5890" w:rsidRPr="00BD2B69" w:rsidRDefault="00CA5890" w:rsidP="00CA5890">
                      <w:pPr>
                        <w:numPr>
                          <w:ilvl w:val="1"/>
                          <w:numId w:val="16"/>
                        </w:numPr>
                        <w:tabs>
                          <w:tab w:val="left" w:pos="1440"/>
                        </w:tabs>
                        <w:overflowPunct/>
                        <w:autoSpaceDE/>
                        <w:autoSpaceDN/>
                        <w:adjustRightInd/>
                        <w:spacing w:after="0"/>
                        <w:jc w:val="left"/>
                        <w:textAlignment w:val="auto"/>
                        <w:rPr>
                          <w:lang w:val="en-US" w:eastAsia="x-none"/>
                        </w:rPr>
                      </w:pPr>
                      <w:r w:rsidRPr="00BD2B69">
                        <w:rPr>
                          <w:lang w:val="en-US" w:eastAsia="x-none"/>
                        </w:rPr>
                        <w:t xml:space="preserve">At least the following two mechanisms are FFS: (1) explicit </w:t>
                      </w:r>
                      <w:proofErr w:type="spellStart"/>
                      <w:r w:rsidRPr="00BD2B69">
                        <w:rPr>
                          <w:lang w:val="en-US" w:eastAsia="x-none"/>
                        </w:rPr>
                        <w:t>signalling</w:t>
                      </w:r>
                      <w:proofErr w:type="spellEnd"/>
                      <w:r w:rsidRPr="00BD2B69">
                        <w:rPr>
                          <w:lang w:val="en-US" w:eastAsia="x-none"/>
                        </w:rPr>
                        <w:t xml:space="preserve"> to the UE of the DL RS(s) ID and corresponding TCI state (2) implicit association of the DL RS ID(s) to a TCI state based on measurements by the UE.</w:t>
                      </w:r>
                    </w:p>
                    <w:p w14:paraId="6FE656A0" w14:textId="6F087E2A" w:rsidR="00CA5890" w:rsidRPr="00CA5890" w:rsidRDefault="00CA5890" w:rsidP="00CA5890">
                      <w:pPr>
                        <w:numPr>
                          <w:ilvl w:val="1"/>
                          <w:numId w:val="16"/>
                        </w:numPr>
                        <w:tabs>
                          <w:tab w:val="left" w:pos="1440"/>
                        </w:tabs>
                        <w:overflowPunct/>
                        <w:autoSpaceDE/>
                        <w:autoSpaceDN/>
                        <w:adjustRightInd/>
                        <w:spacing w:after="0"/>
                        <w:jc w:val="left"/>
                        <w:textAlignment w:val="auto"/>
                        <w:rPr>
                          <w:lang w:val="en-US" w:eastAsia="x-none"/>
                        </w:rPr>
                      </w:pPr>
                      <w:r w:rsidRPr="00BD2B69">
                        <w:rPr>
                          <w:lang w:val="en-US" w:eastAsia="x-none"/>
                        </w:rPr>
                        <w:t>The mechanisms used for different RS types are FFS</w:t>
                      </w:r>
                    </w:p>
                  </w:txbxContent>
                </v:textbox>
                <w10:anchorlock/>
              </v:shape>
            </w:pict>
          </mc:Fallback>
        </mc:AlternateContent>
      </w:r>
    </w:p>
    <w:p w14:paraId="6BE20229" w14:textId="31C78FCC" w:rsidR="006513EC" w:rsidRDefault="00600073" w:rsidP="003C5D72">
      <w:r>
        <w:t>In our view, both the explicit and implicit mechanisms for initializing/updating</w:t>
      </w:r>
      <w:r w:rsidR="006513EC">
        <w:t xml:space="preserve"> the spatial QCL reference in the RS Set of a TCI state </w:t>
      </w:r>
      <w:r w:rsidR="001D079F">
        <w:t>serve a useful purpose</w:t>
      </w:r>
      <w:r>
        <w:t xml:space="preserve"> and should be supported. The</w:t>
      </w:r>
      <w:r w:rsidR="006513EC">
        <w:t xml:space="preserve"> explicit approach is useful</w:t>
      </w:r>
      <w:r w:rsidR="00A156FC">
        <w:t>,</w:t>
      </w:r>
      <w:r w:rsidR="006513EC">
        <w:t xml:space="preserve"> for example</w:t>
      </w:r>
      <w:r w:rsidR="00A156FC">
        <w:t>,</w:t>
      </w:r>
      <w:r w:rsidR="006513EC">
        <w:t xml:space="preserve"> for updating TCI states containing a reference to a periodic or semi-persistent DL RS, e.g., CSI-RS or SSB. In this case, the UE may be configured to report one or multiple preferred resources corresponding to different </w:t>
      </w:r>
      <w:proofErr w:type="spellStart"/>
      <w:r w:rsidR="006513EC">
        <w:t>Tx</w:t>
      </w:r>
      <w:proofErr w:type="spellEnd"/>
      <w:r w:rsidR="006513EC">
        <w:t xml:space="preserve"> beams. Using the explicit update procedure gives</w:t>
      </w:r>
      <w:r w:rsidR="00A156FC">
        <w:t xml:space="preserve"> the </w:t>
      </w:r>
      <w:proofErr w:type="spellStart"/>
      <w:r w:rsidR="00A156FC">
        <w:t>g</w:t>
      </w:r>
      <w:r w:rsidR="006513EC">
        <w:t>NB</w:t>
      </w:r>
      <w:proofErr w:type="spellEnd"/>
      <w:r w:rsidR="006513EC">
        <w:t xml:space="preserve"> flexibility to signal to the UE which particular DL RS resource it would like to be associated with a given TCI state. This can be beneficial, for example, to enable a form of load balancing or to support MU-MIMO operation with flexible </w:t>
      </w:r>
      <w:r w:rsidR="00A156FC">
        <w:t>grouping</w:t>
      </w:r>
      <w:r w:rsidR="006513EC">
        <w:t xml:space="preserve"> of users</w:t>
      </w:r>
      <w:r w:rsidR="00A156FC">
        <w:t xml:space="preserve"> in different beams.</w:t>
      </w:r>
    </w:p>
    <w:p w14:paraId="2B2CF567" w14:textId="75D8E947" w:rsidR="00A156FC" w:rsidRDefault="00A156FC" w:rsidP="003C5D72">
      <w:r>
        <w:t xml:space="preserve">The explicit approach can also be used to “initialize” the spatial QCL reference in a TCI state that will be later updated using the implicit mechanism based on an aperiodic CSI-RS resource. For example, if the UE is configured to report L1-RSRP based on one or more SSBs, the </w:t>
      </w:r>
      <w:proofErr w:type="spellStart"/>
      <w:r>
        <w:t>gNB</w:t>
      </w:r>
      <w:proofErr w:type="spellEnd"/>
      <w:r>
        <w:t xml:space="preserve"> can assign a newly discovered SSB beam with a TCI state through the explicit mechanism. The beam associated with this TCI state may then be refined, e.g., through the </w:t>
      </w:r>
      <w:proofErr w:type="spellStart"/>
      <w:r w:rsidR="001B3799">
        <w:t>g</w:t>
      </w:r>
      <w:r>
        <w:t>NB</w:t>
      </w:r>
      <w:proofErr w:type="spellEnd"/>
      <w:r>
        <w:t xml:space="preserve"> triggering the UE to perform a P2</w:t>
      </w:r>
      <w:r w:rsidR="00924C41">
        <w:t xml:space="preserve"> and/</w:t>
      </w:r>
      <w:r>
        <w:t>or P3 procedure based on a set of aperiodic CSI-RS resources.</w:t>
      </w:r>
    </w:p>
    <w:p w14:paraId="025C9FD6" w14:textId="1D7A3E0F" w:rsidR="00A156FC" w:rsidRDefault="00A156FC" w:rsidP="003C5D72">
      <w:r>
        <w:t xml:space="preserve">The implicit mechanism is achieved by the </w:t>
      </w:r>
      <w:proofErr w:type="spellStart"/>
      <w:r>
        <w:t>gNB</w:t>
      </w:r>
      <w:proofErr w:type="spellEnd"/>
      <w:r>
        <w:t xml:space="preserve"> including a TCI in the same DCI that triggers an aperiodic CSI-RS measurement. Upon receiving the TCI in the triggering DCI, the UE know</w:t>
      </w:r>
      <w:r w:rsidR="00924C41">
        <w:t>s that it should update the spatial QCL reference in the RS Set for the signalled TCI with the preferred CSI-RS determined during the UE measurement.</w:t>
      </w:r>
      <w:r w:rsidR="003A058C">
        <w:t xml:space="preserve"> Directly after the triggering, the </w:t>
      </w:r>
      <w:proofErr w:type="spellStart"/>
      <w:r w:rsidR="003A058C">
        <w:t>gNB</w:t>
      </w:r>
      <w:proofErr w:type="spellEnd"/>
      <w:r w:rsidR="003A058C">
        <w:t xml:space="preserve"> can use the TCI for beam indication</w:t>
      </w:r>
    </w:p>
    <w:p w14:paraId="782C3B17" w14:textId="5D6BE3BF" w:rsidR="00924C41" w:rsidRDefault="00924C41" w:rsidP="003C5D72">
      <w:r>
        <w:t xml:space="preserve">The advantage of the implicit mechanism is that it is quick and simple means for updating the spatial QCL reference with a minimum of signalling overhead. Since a TCI field is already supported in DCI, it may be reused. The alternative is for the </w:t>
      </w:r>
      <w:proofErr w:type="spellStart"/>
      <w:r>
        <w:t>gNB</w:t>
      </w:r>
      <w:proofErr w:type="spellEnd"/>
      <w:r>
        <w:t xml:space="preserve"> to “echo back” a UE reported CRI through the explicit update </w:t>
      </w:r>
      <w:r w:rsidR="001D079F">
        <w:t>mechanism, which seems like an unnecessary step.</w:t>
      </w:r>
      <w:r w:rsidR="003A058C">
        <w:t xml:space="preserve"> Only after the update has been performed, the </w:t>
      </w:r>
      <w:proofErr w:type="spellStart"/>
      <w:r w:rsidR="003A058C">
        <w:t>gNB</w:t>
      </w:r>
      <w:proofErr w:type="spellEnd"/>
      <w:r w:rsidR="003A058C">
        <w:t xml:space="preserve"> may use the TCI for beam indication.</w:t>
      </w:r>
    </w:p>
    <w:p w14:paraId="0AA9A960" w14:textId="75AB8343" w:rsidR="00924C41" w:rsidRDefault="00924C41" w:rsidP="003C5D72">
      <w:r>
        <w:t xml:space="preserve">Another use case for the implicit approach </w:t>
      </w:r>
      <w:r w:rsidR="001D079F">
        <w:t xml:space="preserve">is a reciprocity use case where the UE may not be configured with periodic CSI-RS or configured to report L1-RSRP on SSB. In this case, the </w:t>
      </w:r>
      <w:proofErr w:type="spellStart"/>
      <w:r w:rsidR="001D079F">
        <w:t>gNB</w:t>
      </w:r>
      <w:proofErr w:type="spellEnd"/>
      <w:r w:rsidR="001D079F">
        <w:t xml:space="preserve"> can determine</w:t>
      </w:r>
      <w:r>
        <w:t xml:space="preserve"> </w:t>
      </w:r>
      <w:r w:rsidR="001D079F">
        <w:t xml:space="preserve">a transmit beam direction </w:t>
      </w:r>
      <w:r>
        <w:t xml:space="preserve">based on SRS measurements. It may then trigger the UE to measure on a set of </w:t>
      </w:r>
      <w:proofErr w:type="spellStart"/>
      <w:r>
        <w:t>ap</w:t>
      </w:r>
      <w:proofErr w:type="spellEnd"/>
      <w:r>
        <w:t>-CSI-RS resources for beam refinement purposes (P2 and/or P3</w:t>
      </w:r>
      <w:r w:rsidR="001D079F">
        <w:t>) and use the implicit mechanism to update a TCI state.</w:t>
      </w:r>
    </w:p>
    <w:p w14:paraId="0288FC41" w14:textId="31B6CB5D" w:rsidR="006513EC" w:rsidRDefault="001D079F" w:rsidP="000E0A5C">
      <w:pPr>
        <w:pStyle w:val="KeyProposal"/>
      </w:pPr>
      <w:bookmarkStart w:id="6" w:name="_Toc494464408"/>
      <w:bookmarkStart w:id="7" w:name="_Toc494464463"/>
      <w:bookmarkStart w:id="8" w:name="_Toc494482268"/>
      <w:bookmarkStart w:id="9" w:name="_Toc494556208"/>
      <w:bookmarkStart w:id="10" w:name="_Ref494556752"/>
      <w:bookmarkStart w:id="11" w:name="_Toc494557493"/>
      <w:bookmarkStart w:id="12" w:name="_Toc494572622"/>
      <w:bookmarkStart w:id="13" w:name="_Toc494572795"/>
      <w:bookmarkStart w:id="14" w:name="_Toc494622256"/>
      <w:bookmarkStart w:id="15" w:name="_Toc494622569"/>
      <w:r>
        <w:t xml:space="preserve">NR supports an explicit mechanism for updating the reference to a DL RS </w:t>
      </w:r>
      <w:r w:rsidR="001E7116">
        <w:t xml:space="preserve">used for spatial QCL purposes </w:t>
      </w:r>
      <w:r>
        <w:t xml:space="preserve">in </w:t>
      </w:r>
      <w:r w:rsidR="001E7116">
        <w:t>the</w:t>
      </w:r>
      <w:r>
        <w:t xml:space="preserve"> RS Set of a TCI state. </w:t>
      </w:r>
      <w:r w:rsidR="001E7116">
        <w:t xml:space="preserve">The DL RS can be either a periodic CSI-RS, semi-persistent CSI-RS, or an SSB on which the UE has performed a prior measurement. </w:t>
      </w:r>
      <w:r>
        <w:t xml:space="preserve">The explicit signalling </w:t>
      </w:r>
      <w:r w:rsidR="001E7116">
        <w:t xml:space="preserve">message contains a </w:t>
      </w:r>
      <w:r>
        <w:t>TCI value and a reference (</w:t>
      </w:r>
      <w:r w:rsidR="001E7116">
        <w:t>CRI or SSB index</w:t>
      </w:r>
      <w:r>
        <w:t>)</w:t>
      </w:r>
      <w:r w:rsidR="001E7116">
        <w:t xml:space="preserve"> to the DL RS. FFS: signalling details.</w:t>
      </w:r>
      <w:bookmarkEnd w:id="6"/>
      <w:bookmarkEnd w:id="7"/>
      <w:bookmarkEnd w:id="8"/>
      <w:bookmarkEnd w:id="9"/>
      <w:bookmarkEnd w:id="10"/>
      <w:bookmarkEnd w:id="11"/>
      <w:bookmarkEnd w:id="12"/>
      <w:bookmarkEnd w:id="13"/>
      <w:bookmarkEnd w:id="14"/>
      <w:bookmarkEnd w:id="15"/>
    </w:p>
    <w:p w14:paraId="470A2157" w14:textId="73445C7A" w:rsidR="001D079F" w:rsidRDefault="001E7116" w:rsidP="000E0A5C">
      <w:pPr>
        <w:pStyle w:val="KeyProposal"/>
      </w:pPr>
      <w:bookmarkStart w:id="16" w:name="_Toc494464409"/>
      <w:bookmarkStart w:id="17" w:name="_Toc494464464"/>
      <w:bookmarkStart w:id="18" w:name="_Toc494482269"/>
      <w:bookmarkStart w:id="19" w:name="_Toc494556209"/>
      <w:bookmarkStart w:id="20" w:name="_Toc494557494"/>
      <w:bookmarkStart w:id="21" w:name="_Toc494572623"/>
      <w:bookmarkStart w:id="22" w:name="_Toc494572796"/>
      <w:bookmarkStart w:id="23" w:name="_Toc494622257"/>
      <w:bookmarkStart w:id="24" w:name="_Toc494622570"/>
      <w:r>
        <w:t xml:space="preserve">NR supports an implicit mechanism for updating the reference to a DL RS used for spatial QCL purposes in the RS Set of a TCI state. The DL RS is an aperiodic CSI-RS on which the UE </w:t>
      </w:r>
      <w:r w:rsidR="007E68EF">
        <w:t>performs</w:t>
      </w:r>
      <w:r>
        <w:t xml:space="preserve"> a measurement</w:t>
      </w:r>
      <w:r w:rsidR="007E68EF">
        <w:t>. The DCI that triggers the UE measurement on a set of CSI-RS resources contains a TCI field. Based on the measurement, the UE updates the RS Set of the signalled TCI state with a reference (i.e., CRI) to the preferred CSI-RS resource from the set.</w:t>
      </w:r>
      <w:bookmarkEnd w:id="16"/>
      <w:bookmarkEnd w:id="17"/>
      <w:bookmarkEnd w:id="18"/>
      <w:bookmarkEnd w:id="19"/>
      <w:bookmarkEnd w:id="20"/>
      <w:bookmarkEnd w:id="21"/>
      <w:bookmarkEnd w:id="22"/>
      <w:bookmarkEnd w:id="23"/>
      <w:bookmarkEnd w:id="24"/>
    </w:p>
    <w:p w14:paraId="48B74237" w14:textId="18A2DC08" w:rsidR="00B35B10" w:rsidRDefault="00B35B10" w:rsidP="00B35B10">
      <w:pPr>
        <w:pStyle w:val="Heading2"/>
      </w:pPr>
      <w:r>
        <w:t>Inclusion of other DL RSs in an RS Set</w:t>
      </w:r>
    </w:p>
    <w:p w14:paraId="3ADFE916" w14:textId="378DD539" w:rsidR="00CA5890" w:rsidRPr="00CA5890" w:rsidRDefault="004B06DF" w:rsidP="00CA5890">
      <w:r>
        <w:t xml:space="preserve">Much of the above discussion focuses on the DL RS (CSI-RS or SSB) in an RS Set used for spatial QCL purposes, since that is the one that is dynamically updated based on UE measurements. </w:t>
      </w:r>
      <w:r w:rsidR="00CA5890">
        <w:t xml:space="preserve">Agreement #1 contains the following FFS item on the inclusion of </w:t>
      </w:r>
      <w:r>
        <w:t>additional</w:t>
      </w:r>
      <w:r w:rsidR="00CA5890">
        <w:t xml:space="preserve"> RS(s) in an RS Set of a TCI state:</w:t>
      </w:r>
    </w:p>
    <w:p w14:paraId="4C8F7101" w14:textId="2F179031" w:rsidR="00CA5890" w:rsidRDefault="00CA5890" w:rsidP="00CA5890">
      <w:r>
        <w:rPr>
          <w:noProof/>
          <w:lang w:val="en-US" w:eastAsia="en-US"/>
        </w:rPr>
        <mc:AlternateContent>
          <mc:Choice Requires="wps">
            <w:drawing>
              <wp:inline distT="0" distB="0" distL="0" distR="0" wp14:anchorId="66F05F25" wp14:editId="2E7EF65E">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51AD6A" w14:textId="2E0911B1" w:rsidR="00D54649" w:rsidRPr="007C4B79" w:rsidRDefault="00CA5890" w:rsidP="007C4B79">
                            <w:pPr>
                              <w:numPr>
                                <w:ilvl w:val="0"/>
                                <w:numId w:val="17"/>
                              </w:numPr>
                              <w:overflowPunct/>
                              <w:autoSpaceDE/>
                              <w:autoSpaceDN/>
                              <w:adjustRightInd/>
                              <w:spacing w:after="0"/>
                              <w:jc w:val="left"/>
                              <w:textAlignment w:val="auto"/>
                              <w:rPr>
                                <w:lang w:val="en-US" w:eastAsia="x-none"/>
                              </w:rPr>
                            </w:pPr>
                            <w:r w:rsidRPr="00BD2B69">
                              <w:rPr>
                                <w:lang w:val="en-US" w:eastAsia="x-none"/>
                              </w:rPr>
                              <w:t>FFS: Other RS (e.g. TRS, PTRS) in an RS set depending on outcome of discussions in the QCL agenda item</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6F05F25" id="Text Box 4"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KqXlwIAALoFAAAOAAAAZHJzL2Uyb0RvYy54bWysVFFP2zAQfp+0/2D5fSRt0w4qUtSBOk1C&#10;gFYmnl3HphaOz7JNk+7X7+wkpTBemPaS2L7vPt99vrvzi7bWZCecV2BKOjrJKRGGQ6XMY0l/3a++&#10;nFLiAzMV02BESffC04vF50/njZ2LMWxBV8IRJDF+3tiSbkOw8yzzfCtq5k/ACoNGCa5mAbfuMasc&#10;a5C91tk4z2dZA66yDrjwHk+vOiNdJH4pBQ+3UnoRiC4pxhbS16XvJn6zxTmbPzpmt4r3YbB/iKJm&#10;yuClB6orFhh5duovqlpxBx5kOOFQZyCl4iLlgNmM8jfZrLfMipQLiuPtQSb//2j5ze7OEVWVtKDE&#10;sBqf6F60gXyDlhRRncb6OYLWFmGhxWN85eHc42FMupWujn9Mh6Addd4ftI1kHA+nZ8VklqOJo200&#10;LSaTfBZ5shd363z4LqAmcVFSh4+XNGW7ax866ACJt3nQqloprdMmFoy41I7sGD61DilIJH+F0oY0&#10;JZ1NpnkifmWL1Af/jWb8qQ/vCIV82sTrRCqtPqwoUSdFWoW9FhGjzU8hUdqkyDsxMs6FOcSZ0BEl&#10;MaOPOPb4l6g+4tzlgR7pZjDh4FwrA65T6bW01dMgrezw+IZHecdlaDdtqqnxUCkbqPZYQA66BvSW&#10;rxTqfc18uGMOOw4LA6dIuMWP1ICPBP2Kki243++dRzw2AlopabCDS2pwxFCifxhskLNRUcSGT5ti&#10;+nWMG3ds2RxbzHN9CVg3I5xWlqdlxAc9LKWD+gFHzTLeiSZmON5cUh7csLkM3VzBYcXFcplg2OSW&#10;hWuztjySR5Vjnd23D8zZvs4DtsgNDL3O5m/KvcNGT2+XzwFWKvVC1LlTtdcfB0Tqpn6YxQl0vE+o&#10;l5G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FrSql5cCAAC6BQAADgAAAAAAAAAAAAAAAAAuAgAAZHJzL2Uyb0RvYy54&#10;bWxQSwECLQAUAAYACAAAACEA5EsrVdwAAAAFAQAADwAAAAAAAAAAAAAAAADxBAAAZHJzL2Rvd25y&#10;ZXYueG1sUEsFBgAAAAAEAAQA8wAAAPoFAAAAAA==&#10;" fillcolor="white [3201]" strokeweight=".5pt">
                <v:textbox style="mso-fit-shape-to-text:t">
                  <w:txbxContent>
                    <w:p w14:paraId="4351AD6A" w14:textId="2E0911B1" w:rsidR="00D54649" w:rsidRPr="007C4B79" w:rsidRDefault="00CA5890" w:rsidP="007C4B79">
                      <w:pPr>
                        <w:numPr>
                          <w:ilvl w:val="0"/>
                          <w:numId w:val="17"/>
                        </w:numPr>
                        <w:overflowPunct/>
                        <w:autoSpaceDE/>
                        <w:autoSpaceDN/>
                        <w:adjustRightInd/>
                        <w:spacing w:after="0"/>
                        <w:jc w:val="left"/>
                        <w:textAlignment w:val="auto"/>
                        <w:rPr>
                          <w:lang w:val="en-US" w:eastAsia="x-none"/>
                        </w:rPr>
                      </w:pPr>
                      <w:r w:rsidRPr="00BD2B69">
                        <w:rPr>
                          <w:lang w:val="en-US" w:eastAsia="x-none"/>
                        </w:rPr>
                        <w:t>FFS: Other RS (e.g. TRS, PTRS) in an RS set depending on outcome of discussions in the QCL agenda item</w:t>
                      </w:r>
                    </w:p>
                  </w:txbxContent>
                </v:textbox>
                <w10:anchorlock/>
              </v:shape>
            </w:pict>
          </mc:Fallback>
        </mc:AlternateContent>
      </w:r>
    </w:p>
    <w:p w14:paraId="3603688A" w14:textId="2B60A5B7" w:rsidR="00D54649" w:rsidRDefault="004B06DF" w:rsidP="00CA5890">
      <w:r>
        <w:t xml:space="preserve">Furthermore, </w:t>
      </w:r>
      <w:r w:rsidR="00D54649">
        <w:t>Agreement #2 contains the following FFS item on QCL type:</w:t>
      </w:r>
    </w:p>
    <w:p w14:paraId="7D73CCAD" w14:textId="41094312" w:rsidR="00D54649" w:rsidRDefault="00D54649" w:rsidP="00CA5890">
      <w:r>
        <w:rPr>
          <w:noProof/>
          <w:lang w:val="en-US" w:eastAsia="en-US"/>
        </w:rPr>
        <w:lastRenderedPageBreak/>
        <mc:AlternateContent>
          <mc:Choice Requires="wps">
            <w:drawing>
              <wp:inline distT="0" distB="0" distL="0" distR="0" wp14:anchorId="080C8695" wp14:editId="6393BE72">
                <wp:extent cx="5943600" cy="1543306"/>
                <wp:effectExtent l="0" t="0" r="12700" b="17145"/>
                <wp:docPr id="8" name="Text Box 8"/>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53C0D0" w14:textId="154A7DBF" w:rsidR="00D54649" w:rsidRPr="00D54649" w:rsidRDefault="00D54649" w:rsidP="00D54649">
                            <w:pPr>
                              <w:numPr>
                                <w:ilvl w:val="3"/>
                                <w:numId w:val="18"/>
                              </w:numPr>
                              <w:overflowPunct/>
                              <w:autoSpaceDE/>
                              <w:autoSpaceDN/>
                              <w:adjustRightInd/>
                              <w:spacing w:after="0"/>
                              <w:jc w:val="left"/>
                              <w:textAlignment w:val="auto"/>
                            </w:pPr>
                            <w:r w:rsidRPr="00FA3C94">
                              <w:t>FFS: whether or not a QCL type is configured, configuration details are for further study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80C8695" id="Text Box 8"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aVQlwIAALoFAAAOAAAAZHJzL2Uyb0RvYy54bWysVEtPGzEQvlfqf7B8L7shj0LEBqWgVJUQ&#10;oELF2fHaxML2WLbJbvrrO/buhkC5UPWy6/F8M5755nF23hpNtsIHBbaio6OSEmE51Mo+VvTX/erL&#10;CSUhMlszDVZUdCcCPV98/nTWuLk4hg3oWniCTmyYN66imxjdvCgC3wjDwhE4YVEpwRsWUfSPRe1Z&#10;g96NLo7LclY04GvngYsQ8PayU9JF9i+l4PFGyiAi0RXF2GL++vxdp2+xOGPzR8/cRvE+DPYPURim&#10;LD66d3XJIiPPXv3lyijuIYCMRxxMAVIqLnIOmM2ofJPN3YY5kXNBcoLb0xT+n1t+vb31RNUVxUJZ&#10;ZrBE96KN5Bu05CSx07gwR9CdQ1hs8RqrPNwHvExJt9Kb9Md0COqR592e2+SM4+X0dDKelajiqBtN&#10;J+NxOUt+ihdz50P8LsCQdKiox+JlTtn2KsQOOkDSawG0qldK6yykhhEX2pMtw1LrmINE569Q2pKm&#10;orPxtMyOX+mS6739WjP+1Id3gEJ/2qbnRG6tPqxEUUdFPsWdFgmj7U8hkdrMyDsxMs6F3ceZ0Qkl&#10;MaOPGPb4l6g+YtzlgRb5ZbBxb2yUBd+x9Jra+mmgVnZ4rOFB3ukY23Wbe2o8dMoa6h02kIduAIPj&#10;K4V8X7EQb5nHicPGwC0Sb/AjNWCRoD9RsgH/+737hMdBQC0lDU5wRS2uGEr0D4sDcjqaTNLAZ2Ey&#10;/XqMgj/UrA819tlcAPbNCLeV4/mY8FEPR+nBPOCqWaY3UcUsx5cryqMfhIvY7RVcVlwslxmGQ+5Y&#10;vLJ3jifnieXUZ/ftA/Ou7/OII3INw6yz+Zt277DJMrjlc4SVyrOQeO5Y7fnHBZGnqV9maQMdyhn1&#10;snIXf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rIGlUJcCAAC6BQAADgAAAAAAAAAAAAAAAAAuAgAAZHJzL2Uyb0RvYy54&#10;bWxQSwECLQAUAAYACAAAACEA5EsrVdwAAAAFAQAADwAAAAAAAAAAAAAAAADxBAAAZHJzL2Rvd25y&#10;ZXYueG1sUEsFBgAAAAAEAAQA8wAAAPoFAAAAAA==&#10;" fillcolor="white [3201]" strokeweight=".5pt">
                <v:textbox style="mso-fit-shape-to-text:t">
                  <w:txbxContent>
                    <w:p w14:paraId="4D53C0D0" w14:textId="154A7DBF" w:rsidR="00D54649" w:rsidRPr="00D54649" w:rsidRDefault="00D54649" w:rsidP="00D54649">
                      <w:pPr>
                        <w:numPr>
                          <w:ilvl w:val="3"/>
                          <w:numId w:val="18"/>
                        </w:numPr>
                        <w:overflowPunct/>
                        <w:autoSpaceDE/>
                        <w:autoSpaceDN/>
                        <w:adjustRightInd/>
                        <w:spacing w:after="0"/>
                        <w:jc w:val="left"/>
                        <w:textAlignment w:val="auto"/>
                      </w:pPr>
                      <w:r w:rsidRPr="00FA3C94">
                        <w:t>FFS: whether or not a QCL type is configured, configuration details are for further study</w:t>
                      </w:r>
                    </w:p>
                  </w:txbxContent>
                </v:textbox>
                <w10:anchorlock/>
              </v:shape>
            </w:pict>
          </mc:Fallback>
        </mc:AlternateContent>
      </w:r>
    </w:p>
    <w:p w14:paraId="3A587773" w14:textId="6AFF34E5" w:rsidR="00EC23CC" w:rsidRDefault="00EC23CC" w:rsidP="00CA5890">
      <w:r>
        <w:t xml:space="preserve">In the last meeting, there was good progress in the QCL agenda item on a framework for </w:t>
      </w:r>
      <w:proofErr w:type="spellStart"/>
      <w:r>
        <w:t>midband</w:t>
      </w:r>
      <w:proofErr w:type="spellEnd"/>
      <w:r>
        <w:t xml:space="preserve"> operation. In </w:t>
      </w:r>
      <w:r>
        <w:fldChar w:fldCharType="begin"/>
      </w:r>
      <w:r>
        <w:instrText xml:space="preserve"> REF _Ref494466986 \r \h </w:instrText>
      </w:r>
      <w:r>
        <w:fldChar w:fldCharType="separate"/>
      </w:r>
      <w:r w:rsidR="007A004A">
        <w:t>[2]</w:t>
      </w:r>
      <w:r>
        <w:fldChar w:fldCharType="end"/>
      </w:r>
      <w:r>
        <w:t xml:space="preserve">, some of the remaining details for </w:t>
      </w:r>
      <w:proofErr w:type="spellStart"/>
      <w:r>
        <w:t>midband</w:t>
      </w:r>
      <w:proofErr w:type="spellEnd"/>
      <w:r>
        <w:t xml:space="preserve"> are discussed, and it is further proposed to extend this to </w:t>
      </w:r>
      <w:proofErr w:type="spellStart"/>
      <w:r>
        <w:t>highband</w:t>
      </w:r>
      <w:proofErr w:type="spellEnd"/>
      <w:r>
        <w:t xml:space="preserve"> (mm-wave) operation by the addition of spatial QCL as an add-on to </w:t>
      </w:r>
      <w:proofErr w:type="spellStart"/>
      <w:r>
        <w:t>midband</w:t>
      </w:r>
      <w:proofErr w:type="spellEnd"/>
      <w:r>
        <w:t xml:space="preserve"> QCL relations.</w:t>
      </w:r>
    </w:p>
    <w:p w14:paraId="08C6F78A" w14:textId="46616181" w:rsidR="002C7611" w:rsidRDefault="00E14A79" w:rsidP="00CA5890">
      <w:r>
        <w:t xml:space="preserve">Specifically, it was agreed that Type A QCL (time and frequency parameters) between </w:t>
      </w:r>
      <w:r w:rsidR="002C7611">
        <w:t xml:space="preserve">TRS and PDSCH DMRS is supported, whereas Type B QCL (frequency parameters only) is FFS. In </w:t>
      </w:r>
      <w:r w:rsidR="002C7611">
        <w:fldChar w:fldCharType="begin"/>
      </w:r>
      <w:r w:rsidR="002C7611">
        <w:instrText xml:space="preserve"> REF _Ref494466986 \r \h </w:instrText>
      </w:r>
      <w:r w:rsidR="002C7611">
        <w:fldChar w:fldCharType="separate"/>
      </w:r>
      <w:r w:rsidR="007A004A">
        <w:t>[2]</w:t>
      </w:r>
      <w:r w:rsidR="002C7611">
        <w:fldChar w:fldCharType="end"/>
      </w:r>
      <w:r w:rsidR="002C7611">
        <w:t xml:space="preserve">, we propose that Type B is supported to cover the case when, e.g., TRS is transmitted over a wide beam and PDSCH DMRS is transmitted over a narrow beam. Performance results indicate that due to different delay spread distributions between wide and narrow beam transmissions, there can be a loss in assuming Type A; hence Type B is motivated. In this case, it is proposed to estimate delay spread from PDSCH DMRS instead of TRS. In addition, in </w:t>
      </w:r>
      <w:r w:rsidR="002C7611">
        <w:fldChar w:fldCharType="begin"/>
      </w:r>
      <w:r w:rsidR="002C7611">
        <w:instrText xml:space="preserve"> REF _Ref494466986 \r \h </w:instrText>
      </w:r>
      <w:r w:rsidR="002C7611">
        <w:fldChar w:fldCharType="separate"/>
      </w:r>
      <w:r w:rsidR="007A004A">
        <w:t>[2]</w:t>
      </w:r>
      <w:r w:rsidR="002C7611">
        <w:fldChar w:fldCharType="end"/>
      </w:r>
      <w:r w:rsidR="002C7611">
        <w:t xml:space="preserve"> we further propose that both Type A and B are supported between TRS and PDCCH DMRS.</w:t>
      </w:r>
    </w:p>
    <w:p w14:paraId="70E665B0" w14:textId="45EC42FB" w:rsidR="002C7611" w:rsidRDefault="002C7611" w:rsidP="00CA5890">
      <w:r>
        <w:t>Based on this we propose the following</w:t>
      </w:r>
    </w:p>
    <w:p w14:paraId="009D340C" w14:textId="1A284FA4" w:rsidR="00EC23CC" w:rsidRDefault="002C7611" w:rsidP="00CA5890">
      <w:pPr>
        <w:pStyle w:val="Proposal"/>
      </w:pPr>
      <w:bookmarkStart w:id="25" w:name="_Toc494482270"/>
      <w:bookmarkStart w:id="26" w:name="_Toc494556210"/>
      <w:bookmarkStart w:id="27" w:name="_Toc494557495"/>
      <w:bookmarkStart w:id="28" w:name="_Toc494572624"/>
      <w:bookmarkStart w:id="29" w:name="_Toc494572797"/>
      <w:bookmarkStart w:id="30" w:name="_Toc494622258"/>
      <w:bookmarkStart w:id="31" w:name="_Toc494622454"/>
      <w:r>
        <w:t>NR supports inclusion of TRS in the RS Set of a TCI state</w:t>
      </w:r>
      <w:r w:rsidR="004B06DF">
        <w:t xml:space="preserve"> in addition to CSI-RS/SSB. Different QCL types per DL RS are supported as part of the TCI state configuration. FFS: type definitions.</w:t>
      </w:r>
      <w:bookmarkEnd w:id="25"/>
      <w:bookmarkEnd w:id="26"/>
      <w:bookmarkEnd w:id="27"/>
      <w:bookmarkEnd w:id="28"/>
      <w:bookmarkEnd w:id="29"/>
      <w:bookmarkEnd w:id="30"/>
      <w:bookmarkEnd w:id="31"/>
    </w:p>
    <w:p w14:paraId="532FB6E3" w14:textId="72F100B7" w:rsidR="00B35B10" w:rsidRDefault="00B35B10" w:rsidP="00B35B10">
      <w:pPr>
        <w:pStyle w:val="Heading2"/>
      </w:pPr>
      <w:r>
        <w:t>Inclusion of other parameter(s) in a TCI state</w:t>
      </w:r>
    </w:p>
    <w:p w14:paraId="22B568F0" w14:textId="68CC1768" w:rsidR="00CA5890" w:rsidRPr="00CA5890" w:rsidRDefault="00CA5890" w:rsidP="00CA5890">
      <w:r>
        <w:t>Agreement #1 contains the following FFS item on whether or not a TCI state should contain other parameters, e.g., for PDSCH rate matching purposes:</w:t>
      </w:r>
    </w:p>
    <w:p w14:paraId="30D82CB3" w14:textId="518DADEC" w:rsidR="00CA5890" w:rsidRDefault="00CA5890" w:rsidP="00CA5890">
      <w:r>
        <w:rPr>
          <w:noProof/>
          <w:lang w:val="en-US" w:eastAsia="en-US"/>
        </w:rPr>
        <mc:AlternateContent>
          <mc:Choice Requires="wps">
            <w:drawing>
              <wp:inline distT="0" distB="0" distL="0" distR="0" wp14:anchorId="312CFC3C" wp14:editId="25D54D76">
                <wp:extent cx="5943600" cy="1543306"/>
                <wp:effectExtent l="0" t="0" r="12700" b="17145"/>
                <wp:docPr id="5" name="Text Box 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192872" w14:textId="743DD5D4" w:rsidR="00CA5890" w:rsidRPr="00CA5890" w:rsidRDefault="00CA5890" w:rsidP="00CA5890">
                            <w:pPr>
                              <w:numPr>
                                <w:ilvl w:val="0"/>
                                <w:numId w:val="17"/>
                              </w:numPr>
                              <w:overflowPunct/>
                              <w:autoSpaceDE/>
                              <w:autoSpaceDN/>
                              <w:adjustRightInd/>
                              <w:spacing w:after="0"/>
                              <w:jc w:val="left"/>
                              <w:textAlignment w:val="auto"/>
                              <w:rPr>
                                <w:lang w:val="en-US" w:eastAsia="x-none"/>
                              </w:rPr>
                            </w:pPr>
                            <w:r w:rsidRPr="00BD2B69">
                              <w:rPr>
                                <w:lang w:val="en-US" w:eastAsia="x-none"/>
                              </w:rPr>
                              <w:t>FFS: Whether or not a TCI state includes other parameters(s), e.g., for PDSCH rate matching purposes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12CFC3C" id="Text Box 5" o:spid="_x0000_s1030"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MrlwIAALoFAAAOAAAAZHJzL2Uyb0RvYy54bWysVE1PGzEQvVfqf7B8L7shH4WIDUpBqSoh&#10;QIWKs+O1iYXtsWyT3fTXd+zdDYFyoepl1/a8eZ55npmz89ZoshU+KLAVHR2VlAjLoVb2saK/7ldf&#10;TigJkdmaabCiojsR6Pni86ezxs3FMWxA18ITJLFh3riKbmJ086IIfCMMC0fghEWjBG9YxK1/LGrP&#10;GmQ3ujguy1nRgK+dBy5CwNPLzkgXmV9KweONlEFEoiuKscX89fm7Tt9iccbmj565jeJ9GOwfojBM&#10;Wbx0T3XJIiPPXv1FZRT3EEDGIw6mACkVFzkHzGZUvsnmbsOcyLmgOMHtZQr/j5Zfb289UXVFp5RY&#10;ZvCJ7kUbyTdoyTSp07gwR9CdQ1hs8RhfeTgPeJiSbqU36Y/pELSjzru9tomM4+H0dDKelWjiaBtN&#10;J+NxOUs8xYu78yF+F2BIWlTU4+NlTdn2KsQOOkDSbQG0qldK67xJBSMutCdbhk+tYw4SyV+htCVN&#10;RWfjaZmJX9kS9d5/rRl/6sM7QCGftuk6kUurDytJ1EmRV3GnRcJo+1NIlDYr8k6MjHNh93FmdEJJ&#10;zOgjjj3+JaqPOHd5oEe+GWzcOxtlwXcqvZa2fhqklR0e3/Ag77SM7brNNTUZKmUN9Q4LyEPXgMHx&#10;lUK9r1iIt8xjx2Fh4BSJN/iRGvCRoF9RsgH/+73zhMdGQCslDXZwRS2OGEr0D4sNcjqaTFLD581k&#10;+vUYN/7Qsj602GdzAVg3I5xWjudlwkc9LKUH84CjZpnuRBOzHG+uKI9+2FzEbq7gsOJiucwwbHLH&#10;4pW9czyRJ5VTnd23D8y7vs4jtsg1DL3O5m/KvcMmz+CWzxFWKvdC0rlTtdcfB0Tupn6YpQl0uM+o&#10;l5G7+AM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CMyjK5cCAAC6BQAADgAAAAAAAAAAAAAAAAAuAgAAZHJzL2Uyb0RvYy54&#10;bWxQSwECLQAUAAYACAAAACEA5EsrVdwAAAAFAQAADwAAAAAAAAAAAAAAAADxBAAAZHJzL2Rvd25y&#10;ZXYueG1sUEsFBgAAAAAEAAQA8wAAAPoFAAAAAA==&#10;" fillcolor="white [3201]" strokeweight=".5pt">
                <v:textbox style="mso-fit-shape-to-text:t">
                  <w:txbxContent>
                    <w:p w14:paraId="33192872" w14:textId="743DD5D4" w:rsidR="00CA5890" w:rsidRPr="00CA5890" w:rsidRDefault="00CA5890" w:rsidP="00CA5890">
                      <w:pPr>
                        <w:numPr>
                          <w:ilvl w:val="0"/>
                          <w:numId w:val="17"/>
                        </w:numPr>
                        <w:overflowPunct/>
                        <w:autoSpaceDE/>
                        <w:autoSpaceDN/>
                        <w:adjustRightInd/>
                        <w:spacing w:after="0"/>
                        <w:jc w:val="left"/>
                        <w:textAlignment w:val="auto"/>
                        <w:rPr>
                          <w:lang w:val="en-US" w:eastAsia="x-none"/>
                        </w:rPr>
                      </w:pPr>
                      <w:r w:rsidRPr="00BD2B69">
                        <w:rPr>
                          <w:lang w:val="en-US" w:eastAsia="x-none"/>
                        </w:rPr>
                        <w:t>FFS: Whether or not a TCI state includes other parameters(s), e.g., for PDSCH rate matching purposes</w:t>
                      </w:r>
                    </w:p>
                  </w:txbxContent>
                </v:textbox>
                <w10:anchorlock/>
              </v:shape>
            </w:pict>
          </mc:Fallback>
        </mc:AlternateContent>
      </w:r>
    </w:p>
    <w:p w14:paraId="5E54255A" w14:textId="1138F81D" w:rsidR="003870D7" w:rsidRDefault="0093589A" w:rsidP="00CA5890">
      <w:r>
        <w:t>In general, if an aperiodic</w:t>
      </w:r>
      <w:r w:rsidR="00A80D13">
        <w:t xml:space="preserve"> (</w:t>
      </w:r>
      <w:proofErr w:type="spellStart"/>
      <w:r w:rsidR="00A80D13">
        <w:t>ap</w:t>
      </w:r>
      <w:proofErr w:type="spellEnd"/>
      <w:r w:rsidR="00A80D13">
        <w:t>)</w:t>
      </w:r>
      <w:r>
        <w:t xml:space="preserve"> or semi-persistent</w:t>
      </w:r>
      <w:r w:rsidR="00A80D13">
        <w:t xml:space="preserve"> (</w:t>
      </w:r>
      <w:proofErr w:type="spellStart"/>
      <w:r w:rsidR="00A80D13">
        <w:t>sp</w:t>
      </w:r>
      <w:proofErr w:type="spellEnd"/>
      <w:r w:rsidR="00A80D13">
        <w:t>)</w:t>
      </w:r>
      <w:r>
        <w:t xml:space="preserve"> RS is transmi</w:t>
      </w:r>
      <w:r w:rsidR="00A80D13">
        <w:t>tted outside a UE’s</w:t>
      </w:r>
      <w:r>
        <w:t xml:space="preserve"> scheduled</w:t>
      </w:r>
      <w:r w:rsidR="0009394D">
        <w:t xml:space="preserve"> resources, it can collide with other users’ scheduled resources, requiring a rate matching resource to be indicated to the other user(s). In NR, both </w:t>
      </w:r>
      <w:proofErr w:type="spellStart"/>
      <w:r w:rsidR="0009394D">
        <w:t>ap</w:t>
      </w:r>
      <w:proofErr w:type="spellEnd"/>
      <w:r w:rsidR="0009394D">
        <w:t xml:space="preserve">-CSI-RS and </w:t>
      </w:r>
      <w:proofErr w:type="spellStart"/>
      <w:r w:rsidR="0009394D">
        <w:t>sp</w:t>
      </w:r>
      <w:proofErr w:type="spellEnd"/>
      <w:r w:rsidR="0009394D">
        <w:t xml:space="preserve">-CSI-RS are supported, and </w:t>
      </w:r>
      <w:proofErr w:type="spellStart"/>
      <w:r w:rsidR="00A80D13">
        <w:t>ap</w:t>
      </w:r>
      <w:proofErr w:type="spellEnd"/>
      <w:r w:rsidR="00A80D13">
        <w:t>-TRS is also being discussed. In LTE, rate matching is accomplished by configuring the other users with ZP-CSI-RS resource(s); however, in NR rate matching is not yet settled in RAN1. Furthermore, it is not clear, at least for single-TRP operation, that rate matching resources should be con</w:t>
      </w:r>
      <w:r w:rsidR="003870D7">
        <w:t>figured as part of a TCI state. Hence we propose the following:</w:t>
      </w:r>
    </w:p>
    <w:p w14:paraId="193DFC9A" w14:textId="437ACFD1" w:rsidR="003870D7" w:rsidRDefault="003870D7" w:rsidP="003870D7">
      <w:pPr>
        <w:pStyle w:val="Observation"/>
      </w:pPr>
      <w:bookmarkStart w:id="32" w:name="_Toc494622253"/>
      <w:r>
        <w:t xml:space="preserve">Rate matching is required both for </w:t>
      </w:r>
      <w:proofErr w:type="spellStart"/>
      <w:r>
        <w:t>ap</w:t>
      </w:r>
      <w:proofErr w:type="spellEnd"/>
      <w:r>
        <w:t>/</w:t>
      </w:r>
      <w:proofErr w:type="spellStart"/>
      <w:r>
        <w:t>sp</w:t>
      </w:r>
      <w:proofErr w:type="spellEnd"/>
      <w:r>
        <w:t xml:space="preserve">-CSI-RS and </w:t>
      </w:r>
      <w:proofErr w:type="spellStart"/>
      <w:r>
        <w:t>ap</w:t>
      </w:r>
      <w:proofErr w:type="spellEnd"/>
      <w:r>
        <w:t>-TRS (if supported). Whether or not parameters for rate matching are included in a TCI state depends on the outcome of the rate matching agenda item. Discussion on support for configuration of rate matching parameters in a TCI state to support multi-TRP operation is deferred until after the December release of NR.</w:t>
      </w:r>
      <w:bookmarkEnd w:id="32"/>
    </w:p>
    <w:p w14:paraId="3DCBA85E" w14:textId="054E911B" w:rsidR="002824B7" w:rsidRDefault="00B35B10" w:rsidP="00C352E7">
      <w:pPr>
        <w:pStyle w:val="Heading2"/>
      </w:pPr>
      <w:r>
        <w:t>Conditions for p</w:t>
      </w:r>
      <w:r w:rsidR="00C352E7">
        <w:t>resence/absence of TCI field in DCI</w:t>
      </w:r>
    </w:p>
    <w:p w14:paraId="322165B1" w14:textId="0D6B1FEC" w:rsidR="00D54649" w:rsidRPr="00D54649" w:rsidRDefault="00D54649" w:rsidP="00D54649">
      <w:r>
        <w:t>Agreement #2 contains the following FFS item on the presence/absence of the TCI field in DCI:</w:t>
      </w:r>
    </w:p>
    <w:p w14:paraId="5CB3BAA5" w14:textId="15DC49B2" w:rsidR="00CA5890" w:rsidRPr="00CA5890" w:rsidRDefault="00CA5890" w:rsidP="00CA5890">
      <w:r>
        <w:rPr>
          <w:noProof/>
          <w:lang w:val="en-US" w:eastAsia="en-US"/>
        </w:rPr>
        <mc:AlternateContent>
          <mc:Choice Requires="wps">
            <w:drawing>
              <wp:inline distT="0" distB="0" distL="0" distR="0" wp14:anchorId="3F03F014" wp14:editId="151E14DF">
                <wp:extent cx="5943600" cy="1543306"/>
                <wp:effectExtent l="0" t="0" r="12700" b="17145"/>
                <wp:docPr id="6" name="Text Box 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316D77E" w14:textId="77777777" w:rsidR="00D54649" w:rsidRPr="00FA3C94" w:rsidRDefault="00D54649" w:rsidP="00D54649">
                            <w:pPr>
                              <w:numPr>
                                <w:ilvl w:val="1"/>
                                <w:numId w:val="18"/>
                              </w:numPr>
                              <w:overflowPunct/>
                              <w:autoSpaceDE/>
                              <w:autoSpaceDN/>
                              <w:adjustRightInd/>
                              <w:spacing w:after="0"/>
                              <w:jc w:val="left"/>
                              <w:textAlignment w:val="auto"/>
                            </w:pPr>
                            <w:r w:rsidRPr="00FA3C94">
                              <w:t>Whether or not the TCI field is always present in a given DL-related DCI is FFS</w:t>
                            </w:r>
                          </w:p>
                          <w:p w14:paraId="7B72C068" w14:textId="77E77A28" w:rsidR="00CA5890" w:rsidRPr="00D54649" w:rsidRDefault="00D54649" w:rsidP="00CA5890">
                            <w:pPr>
                              <w:numPr>
                                <w:ilvl w:val="1"/>
                                <w:numId w:val="18"/>
                              </w:numPr>
                              <w:overflowPunct/>
                              <w:autoSpaceDE/>
                              <w:autoSpaceDN/>
                              <w:adjustRightInd/>
                              <w:spacing w:after="0"/>
                              <w:jc w:val="left"/>
                              <w:textAlignment w:val="auto"/>
                            </w:pPr>
                            <w:r w:rsidRPr="00BC3A8B">
                              <w:t>FFS</w:t>
                            </w:r>
                            <w:r w:rsidRPr="00FA3C94">
                              <w:t>: Whether or not the TCI field is in the same DCI as that containing the PDSCH scheduling assignment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F03F014" id="Text Box 6" o:spid="_x0000_s1031"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qCMlgIAALoFAAAOAAAAZHJzL2Uyb0RvYy54bWysVF1P2zAUfZ+0/2D5fSSlHxsVKepAnSah&#10;gQYTz65j0wjHtmzTpPv1O3aS0jJemPaS+Pqe+3V87z2/aGtFtsL5yuiCjk5ySoTmpqz0Y0F/3a8+&#10;faHEB6ZLpowWBd0JTy8WHz+cN3YuTs3GqFI4Aifazxtb0E0Idp5lnm9EzfyJsUJDKY2rWYDoHrPS&#10;sQbea5Wd5vksa4wrrTNceI/bq05JF8m/lIKHGym9CEQVFLmF9HXpu47fbHHO5o+O2U3F+zTYP2RR&#10;s0oj6N7VFQuMPLvqL1d1xZ3xRoYTburMSFlxkWpANaP8VTV3G2ZFqgXkeLunyf8/t/zH9taRqizo&#10;jBLNajzRvWgD+WpaMovsNNbPAbqzgIUW13jl4d7jMhbdSlfHP8oh0IPn3Z7b6Izjcno2Gc9yqDh0&#10;o+lkPM6T/+zF3DofvglTk3goqMPjJU7Z9toHpALoAInRvFFVuaqUSkJsGHGpHNkyPLUKKUlYHKGU&#10;Jg0qHU/z5PhIF13v7deK8adY5rEHSErHcCK1Vp9WpKijIp3CTomIUfqnkKA2MfJGjoxzofd5JnRE&#10;SVT0HsMe/5LVe4y7OmCRIhsd9sZ1pY3rWDqmtnwaqJUdHiQd1B2PoV23qaemQ6esTblDAznTDaC3&#10;fFWB72vmwy1zmDg0BrZIuMFHKoNHMv2Jko1xv9+6j3gMArSUNJjggmqsGErUd40BORtNJnHgkzCZ&#10;fj6F4A4160ONfq4vDfpmhG1leTpGfFDDUTpTP2DVLGNMqJjmiFxQHtwgXIZur2BZcbFcJhiG3LJw&#10;re8sj84jy7HP7tsH5mzf5wEj8sMMs87mr9q9w0ZLb5fPwayqNAuR547Vnn8siNSu/TKLG+hQTqiX&#10;lbv4A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WHqCMlgIAALoFAAAOAAAAAAAAAAAAAAAAAC4CAABkcnMvZTJvRG9jLnht&#10;bFBLAQItABQABgAIAAAAIQDkSytV3AAAAAUBAAAPAAAAAAAAAAAAAAAAAPAEAABkcnMvZG93bnJl&#10;di54bWxQSwUGAAAAAAQABADzAAAA+QUAAAAA&#10;" fillcolor="white [3201]" strokeweight=".5pt">
                <v:textbox style="mso-fit-shape-to-text:t">
                  <w:txbxContent>
                    <w:p w14:paraId="7316D77E" w14:textId="77777777" w:rsidR="00D54649" w:rsidRPr="00FA3C94" w:rsidRDefault="00D54649" w:rsidP="00D54649">
                      <w:pPr>
                        <w:numPr>
                          <w:ilvl w:val="1"/>
                          <w:numId w:val="18"/>
                        </w:numPr>
                        <w:overflowPunct/>
                        <w:autoSpaceDE/>
                        <w:autoSpaceDN/>
                        <w:adjustRightInd/>
                        <w:spacing w:after="0"/>
                        <w:jc w:val="left"/>
                        <w:textAlignment w:val="auto"/>
                      </w:pPr>
                      <w:r w:rsidRPr="00FA3C94">
                        <w:t>Whether or not the TCI field is always present in a given DL-related DCI is FFS</w:t>
                      </w:r>
                    </w:p>
                    <w:p w14:paraId="7B72C068" w14:textId="77E77A28" w:rsidR="00CA5890" w:rsidRPr="00D54649" w:rsidRDefault="00D54649" w:rsidP="00CA5890">
                      <w:pPr>
                        <w:numPr>
                          <w:ilvl w:val="1"/>
                          <w:numId w:val="18"/>
                        </w:numPr>
                        <w:overflowPunct/>
                        <w:autoSpaceDE/>
                        <w:autoSpaceDN/>
                        <w:adjustRightInd/>
                        <w:spacing w:after="0"/>
                        <w:jc w:val="left"/>
                        <w:textAlignment w:val="auto"/>
                      </w:pPr>
                      <w:r w:rsidRPr="00BC3A8B">
                        <w:t>FFS</w:t>
                      </w:r>
                      <w:r w:rsidRPr="00FA3C94">
                        <w:t>: Whether or not the TCI field is in the same DCI as that containing the PDSCH scheduling assignment</w:t>
                      </w:r>
                    </w:p>
                  </w:txbxContent>
                </v:textbox>
                <w10:anchorlock/>
              </v:shape>
            </w:pict>
          </mc:Fallback>
        </mc:AlternateContent>
      </w:r>
    </w:p>
    <w:p w14:paraId="18B5302C" w14:textId="3686A022" w:rsidR="009C0FAB" w:rsidRDefault="003870D7" w:rsidP="00D85EFD">
      <w:r>
        <w:t xml:space="preserve">According to Agreement #6 in the Appendix, NR supports beam management both with and </w:t>
      </w:r>
      <w:r w:rsidRPr="003870D7">
        <w:rPr>
          <w:i/>
        </w:rPr>
        <w:t>without</w:t>
      </w:r>
      <w:r>
        <w:t xml:space="preserve"> beam related indication. </w:t>
      </w:r>
      <w:r w:rsidR="009E5989">
        <w:t xml:space="preserve">In the case of without beam indication, we have previously outlined a baseline beam management procedure based on establishment of a (coarse) SSB beam discovered during the RACH procedure followed by refinement based on </w:t>
      </w:r>
      <w:proofErr w:type="spellStart"/>
      <w:r w:rsidR="009E5989">
        <w:t>ap</w:t>
      </w:r>
      <w:proofErr w:type="spellEnd"/>
      <w:r w:rsidR="009E5989">
        <w:t xml:space="preserve">-CSI-RS </w:t>
      </w:r>
      <w:r w:rsidR="009C0FAB">
        <w:t>using a P2 and/or P3 procedure</w:t>
      </w:r>
      <w:r w:rsidR="00325FE7">
        <w:t xml:space="preserve"> </w:t>
      </w:r>
      <w:r w:rsidR="00325FE7">
        <w:fldChar w:fldCharType="begin"/>
      </w:r>
      <w:r w:rsidR="00325FE7">
        <w:instrText xml:space="preserve"> REF _Ref494628853 \r \h </w:instrText>
      </w:r>
      <w:r w:rsidR="00325FE7">
        <w:fldChar w:fldCharType="separate"/>
      </w:r>
      <w:r w:rsidR="00325FE7">
        <w:t>[4]</w:t>
      </w:r>
      <w:r w:rsidR="00325FE7">
        <w:fldChar w:fldCharType="end"/>
      </w:r>
      <w:r w:rsidR="009C0FAB">
        <w:t xml:space="preserve">. In this baseline case, </w:t>
      </w:r>
      <w:r w:rsidR="00325FE7">
        <w:t>only a single TCI state</w:t>
      </w:r>
      <w:r w:rsidR="009C0FAB">
        <w:t xml:space="preserve"> would </w:t>
      </w:r>
      <w:r w:rsidR="00325FE7">
        <w:t>need to be</w:t>
      </w:r>
      <w:r w:rsidR="009C0FAB">
        <w:t xml:space="preserve"> configured to a UE</w:t>
      </w:r>
      <w:r w:rsidR="00325FE7">
        <w:t xml:space="preserve"> to contain the needed QCL relationships; however, </w:t>
      </w:r>
      <w:r w:rsidR="009C0FAB">
        <w:t xml:space="preserve">DCI would not contain a TCI field. </w:t>
      </w:r>
      <w:r w:rsidR="00325FE7">
        <w:t>This is similar to LTE in which PQI states are configured, but the PQI field in DCI is only present when DCI format 2D is configured. I</w:t>
      </w:r>
      <w:r w:rsidR="009C0FAB">
        <w:t>f either multi-TRP or multi-beam operation is configured, our view is that the TCI field would necessarily be present in DCI.</w:t>
      </w:r>
    </w:p>
    <w:p w14:paraId="499657CD" w14:textId="62DFBBDA" w:rsidR="009C0FAB" w:rsidRDefault="009C0FAB" w:rsidP="009C0FAB">
      <w:pPr>
        <w:pStyle w:val="Observation"/>
      </w:pPr>
      <w:bookmarkStart w:id="33" w:name="_Toc494622254"/>
      <w:r>
        <w:lastRenderedPageBreak/>
        <w:t>The TCI field is present in DCI whenever multi-TRP or multi-beam operation is configured.</w:t>
      </w:r>
      <w:bookmarkEnd w:id="33"/>
    </w:p>
    <w:p w14:paraId="65AA7B85" w14:textId="7C0D4ED8" w:rsidR="003A2033" w:rsidRDefault="009C0FAB" w:rsidP="003A2033">
      <w:pPr>
        <w:pStyle w:val="BodyText"/>
      </w:pPr>
      <w:r>
        <w:t>The above agreement includes an FFS on whether or not the TCI field is in the same DCI as that containing t</w:t>
      </w:r>
      <w:r w:rsidR="003A2033">
        <w:t xml:space="preserve">he PDSCH scheduling assignment. Clearly, the functionality supported by the agreed TCI framework in NR is directly analogous to the PQI framework in LTE which is used for the purposes of QCL and PDSCH rate matching indication in DCI format 2D for DL </w:t>
      </w:r>
      <w:proofErr w:type="spellStart"/>
      <w:r w:rsidR="003A2033">
        <w:t>CoMP.</w:t>
      </w:r>
      <w:proofErr w:type="spellEnd"/>
      <w:r w:rsidR="003A2033">
        <w:t xml:space="preserve"> For NR, dynamic spatial QCL indication for mm-wave is beneficial not only to support multi-TRP (DL </w:t>
      </w:r>
      <w:proofErr w:type="spellStart"/>
      <w:r w:rsidR="003A2033">
        <w:t>CoMP</w:t>
      </w:r>
      <w:proofErr w:type="spellEnd"/>
      <w:r w:rsidR="003A2033">
        <w:t xml:space="preserve">), but also for multi-beam operation from a single-TRP. Due to this tight analogy, our view is that it makes most sense to include the TCI in the same DCI as that containing </w:t>
      </w:r>
      <w:r w:rsidR="00844D87">
        <w:t xml:space="preserve">the PDSCH scheduling assignment. </w:t>
      </w:r>
      <w:r w:rsidR="003A2033">
        <w:t>In high-bands (mm-wave frequencies) one difference from LTE is</w:t>
      </w:r>
      <w:r w:rsidR="00844D87">
        <w:t xml:space="preserve"> that the DCI may include a slot</w:t>
      </w:r>
      <w:r w:rsidR="003A2033">
        <w:t xml:space="preserve"> offset for the purposes of cross-slot scheduling. This may be necessary for a UE that is not able to switch its </w:t>
      </w:r>
      <w:proofErr w:type="spellStart"/>
      <w:r w:rsidR="003A2033">
        <w:t>analog</w:t>
      </w:r>
      <w:proofErr w:type="spellEnd"/>
      <w:r w:rsidR="003A2033">
        <w:t xml:space="preserve"> Rx beam in the same slot as it receives the DCI containing the TCI field due to a </w:t>
      </w:r>
      <w:r w:rsidR="00E45FAF">
        <w:t>PDCCH</w:t>
      </w:r>
      <w:r w:rsidR="003A2033">
        <w:t xml:space="preserve"> decoding delay.</w:t>
      </w:r>
    </w:p>
    <w:p w14:paraId="55B5709A" w14:textId="3F022438" w:rsidR="003A2033" w:rsidRDefault="009974DE" w:rsidP="003A2033">
      <w:pPr>
        <w:pStyle w:val="Proposal"/>
      </w:pPr>
      <w:bookmarkStart w:id="34" w:name="_Toc494556211"/>
      <w:bookmarkStart w:id="35" w:name="_Toc494557496"/>
      <w:bookmarkStart w:id="36" w:name="_Toc494572625"/>
      <w:bookmarkStart w:id="37" w:name="_Toc494572798"/>
      <w:bookmarkStart w:id="38" w:name="_Toc494622259"/>
      <w:bookmarkStart w:id="39" w:name="_Toc494622455"/>
      <w:r>
        <w:t xml:space="preserve">The TCI field is included in the same DCI as that containing </w:t>
      </w:r>
      <w:r w:rsidR="00182D34">
        <w:t>t</w:t>
      </w:r>
      <w:r w:rsidR="00844D87">
        <w:t>he PDSCH scheduling assignment for both same-slot and cross-slot scheduling</w:t>
      </w:r>
      <w:r w:rsidR="00182D34">
        <w:t>.</w:t>
      </w:r>
      <w:bookmarkEnd w:id="34"/>
      <w:bookmarkEnd w:id="35"/>
      <w:bookmarkEnd w:id="36"/>
      <w:bookmarkEnd w:id="37"/>
      <w:bookmarkEnd w:id="38"/>
      <w:bookmarkEnd w:id="39"/>
    </w:p>
    <w:p w14:paraId="7E8F7E15" w14:textId="77777777" w:rsidR="00BC5A3E" w:rsidRDefault="00BC5A3E" w:rsidP="00BC5A3E">
      <w:pPr>
        <w:pStyle w:val="Heading2"/>
      </w:pPr>
      <w:r>
        <w:t>Common beam for PDSCH / PDCCH</w:t>
      </w:r>
    </w:p>
    <w:p w14:paraId="61E4F040" w14:textId="4FD79BEC" w:rsidR="00BC5A3E" w:rsidRDefault="00BC5A3E" w:rsidP="00BC5A3E">
      <w:r>
        <w:t xml:space="preserve">Many of the procedures on beam indication have been designed under the assumption that the UE should adjust its Rx beams differently for PDCCH and PDSCH reception. However, this level of freedom is </w:t>
      </w:r>
      <w:r w:rsidR="00176559">
        <w:t xml:space="preserve">rarely </w:t>
      </w:r>
      <w:r>
        <w:t>needed</w:t>
      </w:r>
      <w:r w:rsidR="00176559">
        <w:t xml:space="preserve">, and </w:t>
      </w:r>
      <w:r w:rsidR="005C02E8">
        <w:t>brings additional complexity</w:t>
      </w:r>
      <w:r>
        <w:t xml:space="preserve">. Both the PDCCH and PDSCH can be transmitted with beams that provide the best SINR at the receiver. In many cases, this is the narrowest beam. Then, the target BLER for the PDCCH and the PDSCH are likely to be different, and that will be achieved by suitable selection of the aggregation level for PDCCH and MCS for PDSCH. </w:t>
      </w:r>
    </w:p>
    <w:p w14:paraId="26E1B492" w14:textId="75EEE147" w:rsidR="00BC5A3E" w:rsidRDefault="00BC5A3E" w:rsidP="00BC5A3E">
      <w:pPr>
        <w:pStyle w:val="Observation"/>
      </w:pPr>
      <w:bookmarkStart w:id="40" w:name="_Toc492924620"/>
      <w:bookmarkStart w:id="41" w:name="_Toc494622255"/>
      <w:r w:rsidRPr="00D92194">
        <w:t>A common realization is that the PDCCH and PDSCH are transmitted using the same beam</w:t>
      </w:r>
      <w:r>
        <w:t>.</w:t>
      </w:r>
      <w:bookmarkEnd w:id="40"/>
      <w:bookmarkEnd w:id="41"/>
    </w:p>
    <w:p w14:paraId="3BD91F67" w14:textId="57C978DC" w:rsidR="00BC5A3E" w:rsidRDefault="00BC5A3E" w:rsidP="00BC5A3E">
      <w:r>
        <w:t xml:space="preserve">In addition, introducing the possibility to switch </w:t>
      </w:r>
      <w:proofErr w:type="spellStart"/>
      <w:r w:rsidR="001C36D0">
        <w:t>analog</w:t>
      </w:r>
      <w:proofErr w:type="spellEnd"/>
      <w:r w:rsidR="001C36D0">
        <w:t xml:space="preserve"> Rx beams </w:t>
      </w:r>
      <w:r>
        <w:t>between PDCCH and PDSCH can lead to a more complex UE implementation than if the Rx beam switches are constrained to be between slots. For these reasons</w:t>
      </w:r>
      <w:r w:rsidR="00AD1D6F">
        <w:t>,</w:t>
      </w:r>
      <w:r>
        <w:t xml:space="preserve"> we propose that an operating mode </w:t>
      </w:r>
      <w:r w:rsidR="00713468">
        <w:t>can</w:t>
      </w:r>
      <w:r>
        <w:t xml:space="preserve"> be configured in which QCL indication for PDSCH and PDCCH is </w:t>
      </w:r>
      <w:r w:rsidR="00713468">
        <w:t>common</w:t>
      </w:r>
      <w:r>
        <w:t xml:space="preserve">. We discuss this further in </w:t>
      </w:r>
      <w:r>
        <w:fldChar w:fldCharType="begin"/>
      </w:r>
      <w:r>
        <w:instrText xml:space="preserve"> REF _Ref494542395 \r \h </w:instrText>
      </w:r>
      <w:r>
        <w:fldChar w:fldCharType="separate"/>
      </w:r>
      <w:r w:rsidR="007A004A">
        <w:t>[3]</w:t>
      </w:r>
      <w:r>
        <w:fldChar w:fldCharType="end"/>
      </w:r>
      <w:r>
        <w:t xml:space="preserve"> where we propose the following</w:t>
      </w:r>
    </w:p>
    <w:p w14:paraId="312E7B31" w14:textId="3FC0F43A" w:rsidR="00713468" w:rsidRDefault="007C1823" w:rsidP="000E0A5C">
      <w:pPr>
        <w:pStyle w:val="KeyProposal"/>
      </w:pPr>
      <w:bookmarkStart w:id="42" w:name="_Toc494556212"/>
      <w:bookmarkStart w:id="43" w:name="_Toc494557497"/>
      <w:bookmarkStart w:id="44" w:name="_Toc494572626"/>
      <w:bookmarkStart w:id="45" w:name="_Toc494572799"/>
      <w:bookmarkStart w:id="46" w:name="_Toc494622260"/>
      <w:bookmarkStart w:id="47" w:name="_Toc494622571"/>
      <w:bookmarkStart w:id="48" w:name="_Hlk494621782"/>
      <w:r>
        <w:t>NR supports a configuration whereby the UE can assume the same QCL reference for PDCCH as indicated through TCI for PDSCH</w:t>
      </w:r>
      <w:r w:rsidR="00713468">
        <w:t>. Prior to slo</w:t>
      </w:r>
      <w:r w:rsidR="00DB1C97">
        <w:t>t n, the UE receives a DCI that schedules PDSCH in slot n. The DCI contains a TCI state for the purposes of QCL indication for PDSCH</w:t>
      </w:r>
      <w:r w:rsidR="00713468">
        <w:t xml:space="preserve">. Within slot n, and in subsequent slots until the next TCI is received, the UE can assume that the DMRS of PDCCH candidates in a configured CORESET is QCL with the DL RS(s) in the RS Set of the </w:t>
      </w:r>
      <w:r w:rsidR="00DB1C97">
        <w:t xml:space="preserve">same </w:t>
      </w:r>
      <w:r w:rsidR="00713468">
        <w:t>prior indicated TCI</w:t>
      </w:r>
      <w:r w:rsidR="00DB1C97">
        <w:t xml:space="preserve"> state</w:t>
      </w:r>
      <w:bookmarkEnd w:id="42"/>
      <w:bookmarkEnd w:id="43"/>
      <w:r w:rsidR="00DB1C97">
        <w:t xml:space="preserve"> as for PDSCH.</w:t>
      </w:r>
      <w:bookmarkEnd w:id="44"/>
      <w:bookmarkEnd w:id="45"/>
      <w:bookmarkEnd w:id="46"/>
      <w:bookmarkEnd w:id="47"/>
    </w:p>
    <w:p w14:paraId="2A1AE0EC" w14:textId="0EA87892" w:rsidR="00B5666A" w:rsidRDefault="009F51FA" w:rsidP="000E0A5C">
      <w:pPr>
        <w:pStyle w:val="KeyProposal"/>
      </w:pPr>
      <w:bookmarkStart w:id="49" w:name="_Toc494622261"/>
      <w:bookmarkStart w:id="50" w:name="_Toc494622572"/>
      <w:r>
        <w:t>To support a configuration whereby the UE can assume a common QCL reference for PDCCH and PDSCH, a TCI state configuration contains an information element (IE) indicating whether common QCL is “ON/OFF.” In this context, common QCL “ON” means that the UE can assume the same QCL reference for PDCCH as indicated through the TCI field in DCI for PDSCH. Common QCL “OFF” means that the UE can assume that the QCL reference for PDCCH is provided by the configured reference to a TCI state in the CORESET.</w:t>
      </w:r>
      <w:bookmarkEnd w:id="49"/>
      <w:bookmarkEnd w:id="50"/>
    </w:p>
    <w:bookmarkEnd w:id="48"/>
    <w:p w14:paraId="30714CE6" w14:textId="0523180D" w:rsidR="00D85EFD" w:rsidRDefault="00D85EFD" w:rsidP="00D85EFD">
      <w:pPr>
        <w:pStyle w:val="Heading2"/>
      </w:pPr>
      <w:r>
        <w:t>Number of TCI states</w:t>
      </w:r>
    </w:p>
    <w:p w14:paraId="2E5E702F" w14:textId="48281CDB" w:rsidR="00F95F8B" w:rsidRPr="00F95F8B" w:rsidRDefault="00F95F8B" w:rsidP="00F95F8B">
      <w:r>
        <w:t>Agreement #1 includes the following FFS items on the number of configured TCI states in relation to the number of bits in the TCI field in DCI:</w:t>
      </w:r>
    </w:p>
    <w:p w14:paraId="1638127D" w14:textId="5815B215" w:rsidR="00CA5890" w:rsidRPr="00CA5890" w:rsidRDefault="00CA5890" w:rsidP="00CA5890">
      <w:r>
        <w:rPr>
          <w:noProof/>
          <w:lang w:val="en-US" w:eastAsia="en-US"/>
        </w:rPr>
        <mc:AlternateContent>
          <mc:Choice Requires="wps">
            <w:drawing>
              <wp:inline distT="0" distB="0" distL="0" distR="0" wp14:anchorId="535DC737" wp14:editId="4FB05EEC">
                <wp:extent cx="5943600" cy="1543306"/>
                <wp:effectExtent l="0" t="0" r="12700" b="17145"/>
                <wp:docPr id="7" name="Text Box 7"/>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437EC16" w14:textId="77777777" w:rsidR="00F95F8B" w:rsidRPr="00BD2B69" w:rsidRDefault="00F95F8B" w:rsidP="00F95F8B">
                            <w:pPr>
                              <w:numPr>
                                <w:ilvl w:val="0"/>
                                <w:numId w:val="17"/>
                              </w:numPr>
                              <w:overflowPunct/>
                              <w:autoSpaceDE/>
                              <w:autoSpaceDN/>
                              <w:adjustRightInd/>
                              <w:spacing w:after="0"/>
                              <w:jc w:val="left"/>
                              <w:textAlignment w:val="auto"/>
                              <w:rPr>
                                <w:lang w:val="en-US" w:eastAsia="x-none"/>
                              </w:rPr>
                            </w:pPr>
                            <w:r w:rsidRPr="00BD2B69">
                              <w:rPr>
                                <w:lang w:val="en-US" w:eastAsia="x-none"/>
                              </w:rPr>
                              <w:t>Whether M equal to or larger than 2</w:t>
                            </w:r>
                            <w:r w:rsidRPr="00BD2B69">
                              <w:rPr>
                                <w:vertAlign w:val="superscript"/>
                                <w:lang w:val="en-US" w:eastAsia="x-none"/>
                              </w:rPr>
                              <w:t>N</w:t>
                            </w:r>
                            <w:r w:rsidRPr="00BD2B69">
                              <w:rPr>
                                <w:lang w:val="en-US" w:eastAsia="x-none"/>
                              </w:rPr>
                              <w:t xml:space="preserve"> is for further study, where N is the size of the DCI field for PDSCH</w:t>
                            </w:r>
                          </w:p>
                          <w:p w14:paraId="30227900" w14:textId="0436E2E4" w:rsidR="00CA5890" w:rsidRPr="00F95F8B" w:rsidRDefault="00F95F8B" w:rsidP="00CA5890">
                            <w:pPr>
                              <w:numPr>
                                <w:ilvl w:val="0"/>
                                <w:numId w:val="17"/>
                              </w:numPr>
                              <w:overflowPunct/>
                              <w:autoSpaceDE/>
                              <w:autoSpaceDN/>
                              <w:adjustRightInd/>
                              <w:spacing w:after="0"/>
                              <w:jc w:val="left"/>
                              <w:textAlignment w:val="auto"/>
                              <w:rPr>
                                <w:lang w:val="en-US" w:eastAsia="x-none"/>
                              </w:rPr>
                            </w:pPr>
                            <w:r w:rsidRPr="00BD2B69">
                              <w:rPr>
                                <w:lang w:val="en-US" w:eastAsia="x-none"/>
                              </w:rPr>
                              <w:t>FFS: Mapping between the candidate states to the states described by N bit DCI field for PDSCH</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35DC737" id="Text Box 7" o:spid="_x0000_s1032"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ToGlgIAALoFAAAOAAAAZHJzL2Uyb0RvYy54bWysVEtPGzEQvlfqf7B8L7shD0rEBqWgVJUQ&#10;oIaKs+O1iYXtsWyT3fTXd+zdPKBcqHrZtWe+Gc9887i4bI0mG+GDAlvRwUlJibAcamWfKvrrYfHl&#10;KyUhMlszDVZUdCsCvZx9/nTRuKk4hTXoWniCTmyYNq6i6xjdtCgCXwvDwgk4YVEpwRsW8eqfitqz&#10;Br0bXZyW5aRowNfOAxchoPS6U9JZ9i+l4PFOyiAi0RXF2GL++vxdpW8xu2DTJ8/cWvE+DPYPURim&#10;LD66d3XNIiMvXv3lyijuIYCMJxxMAVIqLnIOmM2gfJPNcs2cyLkgOcHtaQr/zy2/3dx7ouqKnlFi&#10;mcESPYg2km/QkrPETuPCFEFLh7DYohirvJMHFKakW+lN+mM6BPXI83bPbXLGUTg+Hw0nJao46gbj&#10;0XBYTpKf4mDufIjfBRiSDhX1WLzMKdvchNhBd5D0WgCt6oXSOl9Sw4gr7cmGYal1zEGi81cobUlT&#10;0clwXGbHr3TJ9d5+pRl/7sM7QqE/bdNzIrdWH1aiqKMin+JWi4TR9qeQSG1m5J0YGefC7uPM6ISS&#10;mNFHDHv8IaqPGHd5oEV+GWzcGxtlwXcsvaa2ft5RKzs81vAo73SM7arNPZUrnCQrqLfYQB66AQyO&#10;LxTyfcNCvGceJw4bA7dIvMOP1IBFgv5EyRr87/fkCY+DgFpKGpzgilpcMZToHxYH5HwwGqWBz5fR&#10;+OwUL/5YszrW2BdzBdg3A9xWjudjwke9O0oP5hFXzTy9iSpmOb5cUR797nIVu72Cy4qL+TzDcMgd&#10;izd26XhynlhOffbQPjLv+j6POCK3sJt1Nn3T7h02WQY3f4mwUHkWDqz2/OOCyNPUL7O0gY7vGXVY&#10;ubM/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JEToGlgIAALoFAAAOAAAAAAAAAAAAAAAAAC4CAABkcnMvZTJvRG9jLnht&#10;bFBLAQItABQABgAIAAAAIQDkSytV3AAAAAUBAAAPAAAAAAAAAAAAAAAAAPAEAABkcnMvZG93bnJl&#10;di54bWxQSwUGAAAAAAQABADzAAAA+QUAAAAA&#10;" fillcolor="white [3201]" strokeweight=".5pt">
                <v:textbox style="mso-fit-shape-to-text:t">
                  <w:txbxContent>
                    <w:p w14:paraId="2437EC16" w14:textId="77777777" w:rsidR="00F95F8B" w:rsidRPr="00BD2B69" w:rsidRDefault="00F95F8B" w:rsidP="00F95F8B">
                      <w:pPr>
                        <w:numPr>
                          <w:ilvl w:val="0"/>
                          <w:numId w:val="17"/>
                        </w:numPr>
                        <w:overflowPunct/>
                        <w:autoSpaceDE/>
                        <w:autoSpaceDN/>
                        <w:adjustRightInd/>
                        <w:spacing w:after="0"/>
                        <w:jc w:val="left"/>
                        <w:textAlignment w:val="auto"/>
                        <w:rPr>
                          <w:lang w:val="en-US" w:eastAsia="x-none"/>
                        </w:rPr>
                      </w:pPr>
                      <w:r w:rsidRPr="00BD2B69">
                        <w:rPr>
                          <w:lang w:val="en-US" w:eastAsia="x-none"/>
                        </w:rPr>
                        <w:t>Whether M equal to or larger than 2</w:t>
                      </w:r>
                      <w:r w:rsidRPr="00BD2B69">
                        <w:rPr>
                          <w:vertAlign w:val="superscript"/>
                          <w:lang w:val="en-US" w:eastAsia="x-none"/>
                        </w:rPr>
                        <w:t>N</w:t>
                      </w:r>
                      <w:r w:rsidRPr="00BD2B69">
                        <w:rPr>
                          <w:lang w:val="en-US" w:eastAsia="x-none"/>
                        </w:rPr>
                        <w:t xml:space="preserve"> is for further study, where N is the size of the DCI field for PDSCH</w:t>
                      </w:r>
                    </w:p>
                    <w:p w14:paraId="30227900" w14:textId="0436E2E4" w:rsidR="00CA5890" w:rsidRPr="00F95F8B" w:rsidRDefault="00F95F8B" w:rsidP="00CA5890">
                      <w:pPr>
                        <w:numPr>
                          <w:ilvl w:val="0"/>
                          <w:numId w:val="17"/>
                        </w:numPr>
                        <w:overflowPunct/>
                        <w:autoSpaceDE/>
                        <w:autoSpaceDN/>
                        <w:adjustRightInd/>
                        <w:spacing w:after="0"/>
                        <w:jc w:val="left"/>
                        <w:textAlignment w:val="auto"/>
                        <w:rPr>
                          <w:lang w:val="en-US" w:eastAsia="x-none"/>
                        </w:rPr>
                      </w:pPr>
                      <w:r w:rsidRPr="00BD2B69">
                        <w:rPr>
                          <w:lang w:val="en-US" w:eastAsia="x-none"/>
                        </w:rPr>
                        <w:t>FFS: Mapping between the candidate states to the states described by N bit DCI field for PDSCH</w:t>
                      </w:r>
                    </w:p>
                  </w:txbxContent>
                </v:textbox>
                <w10:anchorlock/>
              </v:shape>
            </w:pict>
          </mc:Fallback>
        </mc:AlternateContent>
      </w:r>
    </w:p>
    <w:p w14:paraId="18ED0A08" w14:textId="5140A260" w:rsidR="004250E2" w:rsidRDefault="004250E2" w:rsidP="003C5D72">
      <w:pPr>
        <w:rPr>
          <w:lang w:val="en-US" w:eastAsia="x-none"/>
        </w:rPr>
      </w:pPr>
      <w:r>
        <w:lastRenderedPageBreak/>
        <w:t xml:space="preserve">In our view, it is sufficient to configure M = </w:t>
      </w:r>
      <w:r w:rsidRPr="00BD2B69">
        <w:rPr>
          <w:lang w:val="en-US" w:eastAsia="x-none"/>
        </w:rPr>
        <w:t>2</w:t>
      </w:r>
      <w:r w:rsidRPr="00BD2B69">
        <w:rPr>
          <w:vertAlign w:val="superscript"/>
          <w:lang w:val="en-US" w:eastAsia="x-none"/>
        </w:rPr>
        <w:t>N</w:t>
      </w:r>
      <w:r>
        <w:rPr>
          <w:lang w:val="en-US" w:eastAsia="x-none"/>
        </w:rPr>
        <w:t xml:space="preserve"> states, and not more. It has been discussed whether or not a large number of TCI states is first </w:t>
      </w:r>
      <w:r w:rsidR="002C7D28">
        <w:rPr>
          <w:lang w:val="en-US" w:eastAsia="x-none"/>
        </w:rPr>
        <w:t xml:space="preserve">RRC </w:t>
      </w:r>
      <w:r>
        <w:rPr>
          <w:lang w:val="en-US" w:eastAsia="x-none"/>
        </w:rPr>
        <w:t>configured</w:t>
      </w:r>
      <w:r w:rsidR="002C7D28">
        <w:rPr>
          <w:lang w:val="en-US" w:eastAsia="x-none"/>
        </w:rPr>
        <w:t>, which is then</w:t>
      </w:r>
      <w:r>
        <w:rPr>
          <w:lang w:val="en-US" w:eastAsia="x-none"/>
        </w:rPr>
        <w:t xml:space="preserve"> </w:t>
      </w:r>
      <w:r w:rsidR="002C7D28">
        <w:rPr>
          <w:lang w:val="en-US" w:eastAsia="x-none"/>
        </w:rPr>
        <w:t xml:space="preserve">followed by activation of </w:t>
      </w:r>
      <w:r w:rsidRPr="00BD2B69">
        <w:rPr>
          <w:lang w:val="en-US" w:eastAsia="x-none"/>
        </w:rPr>
        <w:t>2</w:t>
      </w:r>
      <w:r w:rsidRPr="00BD2B69">
        <w:rPr>
          <w:vertAlign w:val="superscript"/>
          <w:lang w:val="en-US" w:eastAsia="x-none"/>
        </w:rPr>
        <w:t>N</w:t>
      </w:r>
      <w:r>
        <w:rPr>
          <w:vertAlign w:val="superscript"/>
          <w:lang w:val="en-US" w:eastAsia="x-none"/>
        </w:rPr>
        <w:t xml:space="preserve"> </w:t>
      </w:r>
      <w:r>
        <w:rPr>
          <w:lang w:val="en-US" w:eastAsia="x-none"/>
        </w:rPr>
        <w:t xml:space="preserve">states by MAC-CE, </w:t>
      </w:r>
      <w:r w:rsidR="002C7D28">
        <w:rPr>
          <w:lang w:val="en-US" w:eastAsia="x-none"/>
        </w:rPr>
        <w:t xml:space="preserve">which is then followed by selection of one out of the activated </w:t>
      </w:r>
      <w:r w:rsidRPr="00BD2B69">
        <w:rPr>
          <w:lang w:val="en-US" w:eastAsia="x-none"/>
        </w:rPr>
        <w:t>2</w:t>
      </w:r>
      <w:r w:rsidRPr="00BD2B69">
        <w:rPr>
          <w:vertAlign w:val="superscript"/>
          <w:lang w:val="en-US" w:eastAsia="x-none"/>
        </w:rPr>
        <w:t>N</w:t>
      </w:r>
      <w:r w:rsidR="002C7D28">
        <w:rPr>
          <w:vertAlign w:val="superscript"/>
          <w:lang w:val="en-US" w:eastAsia="x-none"/>
        </w:rPr>
        <w:t xml:space="preserve"> </w:t>
      </w:r>
      <w:r w:rsidR="002C7D28">
        <w:rPr>
          <w:lang w:val="en-US" w:eastAsia="x-none"/>
        </w:rPr>
        <w:t xml:space="preserve">states in DCI. Our thinking is that this 3-step procedure is unnecessary, especially if the explicit TCI state update mechanism in </w:t>
      </w:r>
      <w:r w:rsidR="002C7D28">
        <w:rPr>
          <w:lang w:val="en-US" w:eastAsia="x-none"/>
        </w:rPr>
        <w:fldChar w:fldCharType="begin"/>
      </w:r>
      <w:r w:rsidR="002C7D28">
        <w:rPr>
          <w:lang w:val="en-US" w:eastAsia="x-none"/>
        </w:rPr>
        <w:instrText xml:space="preserve"> REF _Ref494556752 \r \h </w:instrText>
      </w:r>
      <w:r w:rsidR="002C7D28">
        <w:rPr>
          <w:lang w:val="en-US" w:eastAsia="x-none"/>
        </w:rPr>
      </w:r>
      <w:r w:rsidR="002C7D28">
        <w:rPr>
          <w:lang w:val="en-US" w:eastAsia="x-none"/>
        </w:rPr>
        <w:fldChar w:fldCharType="separate"/>
      </w:r>
      <w:r w:rsidR="007A004A">
        <w:rPr>
          <w:lang w:val="en-US" w:eastAsia="x-none"/>
        </w:rPr>
        <w:t>Proposal 1</w:t>
      </w:r>
      <w:r w:rsidR="002C7D28">
        <w:rPr>
          <w:lang w:val="en-US" w:eastAsia="x-none"/>
        </w:rPr>
        <w:fldChar w:fldCharType="end"/>
      </w:r>
      <w:r w:rsidR="002C7D28">
        <w:rPr>
          <w:lang w:val="en-US" w:eastAsia="x-none"/>
        </w:rPr>
        <w:t xml:space="preserve"> is supported. With this mechanism, the same effect of down selecting to </w:t>
      </w:r>
      <w:r w:rsidR="002C7D28" w:rsidRPr="00BD2B69">
        <w:rPr>
          <w:lang w:val="en-US" w:eastAsia="x-none"/>
        </w:rPr>
        <w:t>2</w:t>
      </w:r>
      <w:r w:rsidR="002C7D28" w:rsidRPr="00BD2B69">
        <w:rPr>
          <w:vertAlign w:val="superscript"/>
          <w:lang w:val="en-US" w:eastAsia="x-none"/>
        </w:rPr>
        <w:t>N</w:t>
      </w:r>
      <w:r w:rsidR="002C7D28">
        <w:rPr>
          <w:lang w:val="en-US" w:eastAsia="x-none"/>
        </w:rPr>
        <w:t xml:space="preserve"> states can be achieved by </w:t>
      </w:r>
      <w:proofErr w:type="spellStart"/>
      <w:r w:rsidR="002C7D28">
        <w:rPr>
          <w:lang w:val="en-US" w:eastAsia="x-none"/>
        </w:rPr>
        <w:t>gNB</w:t>
      </w:r>
      <w:proofErr w:type="spellEnd"/>
      <w:r w:rsidR="002C7D28">
        <w:rPr>
          <w:lang w:val="en-US" w:eastAsia="x-none"/>
        </w:rPr>
        <w:t xml:space="preserve"> implementation, without incurring unnecessary RRC signaling overhead and without introducing an extra level of MAC-CE signaling. For example, if the UE reports multiple beam</w:t>
      </w:r>
      <w:r w:rsidR="00AD1D6F">
        <w:rPr>
          <w:lang w:val="en-US" w:eastAsia="x-none"/>
        </w:rPr>
        <w:t>s</w:t>
      </w:r>
      <w:r w:rsidR="002C7D28">
        <w:rPr>
          <w:lang w:val="en-US" w:eastAsia="x-none"/>
        </w:rPr>
        <w:t xml:space="preserve">, there is no need to assign all of them to a large set of TCI states. Instead, by implementation, the </w:t>
      </w:r>
      <w:proofErr w:type="spellStart"/>
      <w:r w:rsidR="002C7D28">
        <w:rPr>
          <w:lang w:val="en-US" w:eastAsia="x-none"/>
        </w:rPr>
        <w:t>gNB</w:t>
      </w:r>
      <w:proofErr w:type="spellEnd"/>
      <w:r w:rsidR="002C7D28">
        <w:rPr>
          <w:lang w:val="en-US" w:eastAsia="x-none"/>
        </w:rPr>
        <w:t xml:space="preserve"> can select which ones it would like the UE to map to one or more of  the M = </w:t>
      </w:r>
      <w:r w:rsidR="002C7D28" w:rsidRPr="00BD2B69">
        <w:rPr>
          <w:lang w:val="en-US" w:eastAsia="x-none"/>
        </w:rPr>
        <w:t>2</w:t>
      </w:r>
      <w:r w:rsidR="002C7D28" w:rsidRPr="00BD2B69">
        <w:rPr>
          <w:vertAlign w:val="superscript"/>
          <w:lang w:val="en-US" w:eastAsia="x-none"/>
        </w:rPr>
        <w:t>N</w:t>
      </w:r>
      <w:r w:rsidR="002C7D28">
        <w:rPr>
          <w:lang w:val="en-US" w:eastAsia="x-none"/>
        </w:rPr>
        <w:t xml:space="preserve"> configured states, and then inform the UE through explicit signaling of the mapping. One of the </w:t>
      </w:r>
      <w:r w:rsidR="002C7D28" w:rsidRPr="00BD2B69">
        <w:rPr>
          <w:lang w:val="en-US" w:eastAsia="x-none"/>
        </w:rPr>
        <w:t>2</w:t>
      </w:r>
      <w:r w:rsidR="002C7D28" w:rsidRPr="00BD2B69">
        <w:rPr>
          <w:vertAlign w:val="superscript"/>
          <w:lang w:val="en-US" w:eastAsia="x-none"/>
        </w:rPr>
        <w:t>N</w:t>
      </w:r>
      <w:r w:rsidR="002C7D28">
        <w:rPr>
          <w:lang w:val="en-US" w:eastAsia="x-none"/>
        </w:rPr>
        <w:t xml:space="preserve"> states is then selected and indicated by DCI as already agreed.</w:t>
      </w:r>
    </w:p>
    <w:p w14:paraId="15E8290F" w14:textId="07F34779" w:rsidR="004A7F20" w:rsidRPr="003C5D72" w:rsidRDefault="002C7D28" w:rsidP="002C7D28">
      <w:pPr>
        <w:pStyle w:val="Proposal"/>
      </w:pPr>
      <w:bookmarkStart w:id="51" w:name="_Toc494557498"/>
      <w:bookmarkStart w:id="52" w:name="_Toc494572627"/>
      <w:bookmarkStart w:id="53" w:name="_Toc494572800"/>
      <w:bookmarkStart w:id="54" w:name="_Toc494622262"/>
      <w:bookmarkStart w:id="55" w:name="_Toc494622456"/>
      <w:r>
        <w:rPr>
          <w:lang w:val="en-US"/>
        </w:rPr>
        <w:t xml:space="preserve">NR supports RRC configuration of </w:t>
      </w:r>
      <w:r w:rsidR="000E0A5C">
        <w:rPr>
          <w:lang w:val="en-US"/>
        </w:rPr>
        <w:t xml:space="preserve">a maximum of </w:t>
      </w:r>
      <w:r>
        <w:rPr>
          <w:lang w:val="en-US"/>
        </w:rPr>
        <w:t xml:space="preserve">M = </w:t>
      </w:r>
      <w:r w:rsidRPr="00BD2B69">
        <w:rPr>
          <w:lang w:val="en-US"/>
        </w:rPr>
        <w:t>2</w:t>
      </w:r>
      <w:r w:rsidRPr="00BD2B69">
        <w:rPr>
          <w:vertAlign w:val="superscript"/>
          <w:lang w:val="en-US"/>
        </w:rPr>
        <w:t>N</w:t>
      </w:r>
      <w:r>
        <w:rPr>
          <w:lang w:val="en-US"/>
        </w:rPr>
        <w:t xml:space="preserve"> TCI states, where N is the size of the</w:t>
      </w:r>
      <w:r w:rsidR="00DB1C97">
        <w:rPr>
          <w:lang w:val="en-US"/>
        </w:rPr>
        <w:t xml:space="preserve"> TCI field in</w:t>
      </w:r>
      <w:r>
        <w:rPr>
          <w:lang w:val="en-US"/>
        </w:rPr>
        <w:t xml:space="preserve"> DCI </w:t>
      </w:r>
      <w:r w:rsidR="00DB1C97">
        <w:rPr>
          <w:lang w:val="en-US"/>
        </w:rPr>
        <w:t>used for the purposes of QCL indication</w:t>
      </w:r>
      <w:r>
        <w:rPr>
          <w:lang w:val="en-US"/>
        </w:rPr>
        <w:t>.</w:t>
      </w:r>
      <w:bookmarkEnd w:id="51"/>
      <w:bookmarkEnd w:id="52"/>
      <w:bookmarkEnd w:id="53"/>
      <w:bookmarkEnd w:id="54"/>
      <w:bookmarkEnd w:id="55"/>
      <w:r>
        <w:rPr>
          <w:lang w:val="en-US"/>
        </w:rPr>
        <w:t xml:space="preserve"> </w:t>
      </w:r>
    </w:p>
    <w:p w14:paraId="6AC9D551" w14:textId="5CEB51AF" w:rsidR="00D85EFD" w:rsidRDefault="00824BA1" w:rsidP="00824BA1">
      <w:pPr>
        <w:pStyle w:val="Heading1"/>
      </w:pPr>
      <w:r>
        <w:t>UL QCL I</w:t>
      </w:r>
      <w:r w:rsidR="00944C33">
        <w:t xml:space="preserve">ndication </w:t>
      </w:r>
    </w:p>
    <w:p w14:paraId="301FC694" w14:textId="7E8284F6" w:rsidR="007A004A" w:rsidRDefault="007A004A" w:rsidP="007A004A">
      <w:r>
        <w:t xml:space="preserve">Clearly, if DL beam indication is used, i.e., through the configuration and signalling of TCI states, it would be natural to support beam indication in the uplink as well. This is beneficial to aid the UE in adjusting its </w:t>
      </w:r>
      <w:proofErr w:type="spellStart"/>
      <w:r>
        <w:t>Tx</w:t>
      </w:r>
      <w:proofErr w:type="spellEnd"/>
      <w:r>
        <w:t xml:space="preserve"> spatial configuration, i.e., spatial filter/spatial precoder/beam for the purposes of transmitting UL signals (PUSCH, PUCCH, and SRS). This simplifies </w:t>
      </w:r>
      <w:proofErr w:type="spellStart"/>
      <w:r>
        <w:t>gNB</w:t>
      </w:r>
      <w:proofErr w:type="spellEnd"/>
      <w:r>
        <w:t xml:space="preserve"> operation in the demodulation of PUSCH and PUCCH in that the received signals at the </w:t>
      </w:r>
      <w:proofErr w:type="spellStart"/>
      <w:r>
        <w:t>gNB</w:t>
      </w:r>
      <w:proofErr w:type="spellEnd"/>
      <w:r>
        <w:t xml:space="preserve"> can be aligned with a desired </w:t>
      </w:r>
      <w:proofErr w:type="spellStart"/>
      <w:r>
        <w:t>gNB</w:t>
      </w:r>
      <w:proofErr w:type="spellEnd"/>
      <w:r>
        <w:t xml:space="preserve"> </w:t>
      </w:r>
      <w:proofErr w:type="spellStart"/>
      <w:r>
        <w:t>analog</w:t>
      </w:r>
      <w:proofErr w:type="spellEnd"/>
      <w:r>
        <w:t xml:space="preserve"> beam direction. Since the TCI framework for DL QCL indication has already been agreed, it makes sense to leverage that framework as much as possible for UL beam indication. In </w:t>
      </w:r>
      <w:r>
        <w:fldChar w:fldCharType="begin"/>
      </w:r>
      <w:r>
        <w:instrText xml:space="preserve"> REF _Ref494572526 \r \h </w:instrText>
      </w:r>
      <w:r>
        <w:fldChar w:fldCharType="separate"/>
      </w:r>
      <w:r>
        <w:t>[4]</w:t>
      </w:r>
      <w:r>
        <w:fldChar w:fldCharType="end"/>
      </w:r>
      <w:r>
        <w:t>, we discuss this further and propose that TCI be included in the DCI that triggers the UL transmission for the purposes of indicating reciprocal spatial QCL.</w:t>
      </w:r>
    </w:p>
    <w:p w14:paraId="74662731" w14:textId="70061360" w:rsidR="00D85EFD" w:rsidRDefault="002A5EA8" w:rsidP="002A5EA8">
      <w:pPr>
        <w:pStyle w:val="Heading1"/>
      </w:pPr>
      <w:r>
        <w:t>Beam Measurement and Reporting</w:t>
      </w:r>
    </w:p>
    <w:p w14:paraId="41D8C006" w14:textId="0C04C1EE" w:rsidR="004F7508" w:rsidRDefault="009E5989" w:rsidP="007C4B79">
      <w:r>
        <w:t xml:space="preserve">In a companion paper </w:t>
      </w:r>
      <w:r>
        <w:fldChar w:fldCharType="begin"/>
      </w:r>
      <w:r>
        <w:instrText xml:space="preserve"> REF _Ref494482522 \r \h </w:instrText>
      </w:r>
      <w:r>
        <w:fldChar w:fldCharType="separate"/>
      </w:r>
      <w:r w:rsidR="007A004A">
        <w:t>[5]</w:t>
      </w:r>
      <w:r>
        <w:fldChar w:fldCharType="end"/>
      </w:r>
      <w:r>
        <w:t>, we discuss the configuration of L1-RSRP reporting on SS blocks addressing the FFS items in Agreement #4 in the Appendix.</w:t>
      </w:r>
    </w:p>
    <w:p w14:paraId="56327F3C" w14:textId="77777777" w:rsidR="00C01F33" w:rsidRPr="00CE0424" w:rsidRDefault="00C01F33" w:rsidP="003A0E41">
      <w:pPr>
        <w:pStyle w:val="Heading1"/>
      </w:pPr>
      <w:r w:rsidRPr="00CE0424">
        <w:t>Conclusion</w:t>
      </w:r>
      <w:r w:rsidR="00AE2FEB">
        <w:t>s</w:t>
      </w:r>
    </w:p>
    <w:p w14:paraId="6A4817C8" w14:textId="1D5DAA6A" w:rsidR="002451ED" w:rsidRDefault="003A0E41" w:rsidP="008E065E">
      <w:pPr>
        <w:pStyle w:val="BodyText"/>
      </w:pPr>
      <w:r>
        <w:t>In this contribution we made the following ob</w:t>
      </w:r>
      <w:r w:rsidR="004033B5">
        <w:t>s</w:t>
      </w:r>
      <w:r>
        <w:t>ervations</w:t>
      </w:r>
      <w:r w:rsidR="008E065E" w:rsidRPr="00CE0424">
        <w:t>:</w:t>
      </w:r>
    </w:p>
    <w:p w14:paraId="663320C1" w14:textId="0A67C7AD" w:rsidR="00957DEE" w:rsidRDefault="00E5689D">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4622252" w:history="1">
        <w:r w:rsidR="00957DEE" w:rsidRPr="006653D2">
          <w:rPr>
            <w:rStyle w:val="Hyperlink"/>
          </w:rPr>
          <w:t>Observation 1</w:t>
        </w:r>
        <w:r w:rsidR="00957DEE">
          <w:rPr>
            <w:rFonts w:asciiTheme="minorHAnsi" w:eastAsiaTheme="minorEastAsia" w:hAnsiTheme="minorHAnsi" w:cstheme="minorBidi"/>
            <w:b w:val="0"/>
            <w:sz w:val="22"/>
            <w:lang w:eastAsia="en-US"/>
          </w:rPr>
          <w:tab/>
        </w:r>
        <w:r w:rsidR="00957DEE" w:rsidRPr="006653D2">
          <w:rPr>
            <w:rStyle w:val="Hyperlink"/>
          </w:rPr>
          <w:t>Configuration of a reference to a TCI state on a per-search space basis offers more flexibility than on a per-CORESET basis considering a range of deployment scenarios. An important restriction, however, is that with analog beamforming, e.g., at mm-wave frequencies, the TCI reference needs to be configured the same for all UE specific search spaces within a CORESET.</w:t>
        </w:r>
      </w:hyperlink>
    </w:p>
    <w:p w14:paraId="527C6E6B" w14:textId="7702786A" w:rsidR="00957DEE" w:rsidRDefault="007F6935">
      <w:pPr>
        <w:pStyle w:val="TOC1"/>
        <w:rPr>
          <w:rFonts w:asciiTheme="minorHAnsi" w:eastAsiaTheme="minorEastAsia" w:hAnsiTheme="minorHAnsi" w:cstheme="minorBidi"/>
          <w:b w:val="0"/>
          <w:sz w:val="22"/>
          <w:lang w:eastAsia="en-US"/>
        </w:rPr>
      </w:pPr>
      <w:hyperlink w:anchor="_Toc494622253" w:history="1">
        <w:r w:rsidR="00957DEE" w:rsidRPr="006653D2">
          <w:rPr>
            <w:rStyle w:val="Hyperlink"/>
          </w:rPr>
          <w:t>Observation 2</w:t>
        </w:r>
        <w:r w:rsidR="00957DEE">
          <w:rPr>
            <w:rFonts w:asciiTheme="minorHAnsi" w:eastAsiaTheme="minorEastAsia" w:hAnsiTheme="minorHAnsi" w:cstheme="minorBidi"/>
            <w:b w:val="0"/>
            <w:sz w:val="22"/>
            <w:lang w:eastAsia="en-US"/>
          </w:rPr>
          <w:tab/>
        </w:r>
        <w:r w:rsidR="00957DEE" w:rsidRPr="006653D2">
          <w:rPr>
            <w:rStyle w:val="Hyperlink"/>
          </w:rPr>
          <w:t>Rate matching is required both for ap/sp-CSI-RS and ap-TRS (if supported). Whether or not parameters for rate matching are included in a TCI state depends on the outcome of the rate matching agenda item. Discussion on support for configuration of rate matching parameters in a TCI state to support multi-TRP operation is deferred until after the December release of NR.</w:t>
        </w:r>
      </w:hyperlink>
    </w:p>
    <w:p w14:paraId="0AA4E4B4" w14:textId="09C3098E" w:rsidR="00957DEE" w:rsidRDefault="007F6935">
      <w:pPr>
        <w:pStyle w:val="TOC1"/>
        <w:rPr>
          <w:rFonts w:asciiTheme="minorHAnsi" w:eastAsiaTheme="minorEastAsia" w:hAnsiTheme="minorHAnsi" w:cstheme="minorBidi"/>
          <w:b w:val="0"/>
          <w:sz w:val="22"/>
          <w:lang w:eastAsia="en-US"/>
        </w:rPr>
      </w:pPr>
      <w:hyperlink w:anchor="_Toc494622254" w:history="1">
        <w:r w:rsidR="00957DEE" w:rsidRPr="006653D2">
          <w:rPr>
            <w:rStyle w:val="Hyperlink"/>
          </w:rPr>
          <w:t>Observation 3</w:t>
        </w:r>
        <w:r w:rsidR="00957DEE">
          <w:rPr>
            <w:rFonts w:asciiTheme="minorHAnsi" w:eastAsiaTheme="minorEastAsia" w:hAnsiTheme="minorHAnsi" w:cstheme="minorBidi"/>
            <w:b w:val="0"/>
            <w:sz w:val="22"/>
            <w:lang w:eastAsia="en-US"/>
          </w:rPr>
          <w:tab/>
        </w:r>
        <w:r w:rsidR="00957DEE" w:rsidRPr="006653D2">
          <w:rPr>
            <w:rStyle w:val="Hyperlink"/>
          </w:rPr>
          <w:t>The TCI field is present in DCI whenever multi-TRP or multi-beam operation is configured.</w:t>
        </w:r>
      </w:hyperlink>
    </w:p>
    <w:p w14:paraId="72E67B18" w14:textId="609B958B" w:rsidR="00957DEE" w:rsidRDefault="007F6935">
      <w:pPr>
        <w:pStyle w:val="TOC1"/>
        <w:rPr>
          <w:rFonts w:asciiTheme="minorHAnsi" w:eastAsiaTheme="minorEastAsia" w:hAnsiTheme="minorHAnsi" w:cstheme="minorBidi"/>
          <w:b w:val="0"/>
          <w:sz w:val="22"/>
          <w:lang w:eastAsia="en-US"/>
        </w:rPr>
      </w:pPr>
      <w:hyperlink w:anchor="_Toc494622255" w:history="1">
        <w:r w:rsidR="00957DEE" w:rsidRPr="006653D2">
          <w:rPr>
            <w:rStyle w:val="Hyperlink"/>
          </w:rPr>
          <w:t>Observation 4</w:t>
        </w:r>
        <w:r w:rsidR="00957DEE">
          <w:rPr>
            <w:rFonts w:asciiTheme="minorHAnsi" w:eastAsiaTheme="minorEastAsia" w:hAnsiTheme="minorHAnsi" w:cstheme="minorBidi"/>
            <w:b w:val="0"/>
            <w:sz w:val="22"/>
            <w:lang w:eastAsia="en-US"/>
          </w:rPr>
          <w:tab/>
        </w:r>
        <w:r w:rsidR="00957DEE" w:rsidRPr="006653D2">
          <w:rPr>
            <w:rStyle w:val="Hyperlink"/>
          </w:rPr>
          <w:t>A common realization is that the PDCCH and PDSCH are transmitted using the same beam.</w:t>
        </w:r>
      </w:hyperlink>
    </w:p>
    <w:p w14:paraId="6AC53E94" w14:textId="74D7EB4C" w:rsidR="008E065E" w:rsidRDefault="00E5689D" w:rsidP="008E065E">
      <w:pPr>
        <w:pStyle w:val="BodyText"/>
        <w:rPr>
          <w:bCs/>
          <w:noProof/>
          <w:szCs w:val="22"/>
          <w:lang w:val="en-US"/>
        </w:rPr>
      </w:pPr>
      <w:r>
        <w:rPr>
          <w:bCs/>
          <w:noProof/>
          <w:szCs w:val="22"/>
          <w:lang w:val="en-US"/>
        </w:rPr>
        <w:fldChar w:fldCharType="end"/>
      </w:r>
    </w:p>
    <w:p w14:paraId="07BDBE57" w14:textId="068A9A44" w:rsidR="000E0A5C" w:rsidRDefault="000E0A5C" w:rsidP="008E065E">
      <w:pPr>
        <w:pStyle w:val="BodyText"/>
        <w:rPr>
          <w:bCs/>
          <w:noProof/>
          <w:szCs w:val="22"/>
          <w:lang w:val="en-US"/>
        </w:rPr>
      </w:pPr>
      <w:r>
        <w:rPr>
          <w:bCs/>
          <w:noProof/>
          <w:szCs w:val="22"/>
          <w:lang w:val="en-US"/>
        </w:rPr>
        <w:t>We make the following key proposals:</w:t>
      </w:r>
    </w:p>
    <w:p w14:paraId="7EA3DE0A" w14:textId="6DE552DD" w:rsidR="000E0A5C" w:rsidRDefault="000E0A5C">
      <w:pPr>
        <w:pStyle w:val="TOC1"/>
        <w:rPr>
          <w:rFonts w:asciiTheme="minorHAnsi" w:eastAsiaTheme="minorEastAsia" w:hAnsiTheme="minorHAnsi" w:cstheme="minorBidi"/>
          <w:b w:val="0"/>
          <w:sz w:val="22"/>
          <w:lang w:eastAsia="en-US"/>
        </w:rPr>
      </w:pPr>
      <w:r>
        <w:rPr>
          <w:bCs/>
        </w:rPr>
        <w:lastRenderedPageBreak/>
        <w:fldChar w:fldCharType="begin"/>
      </w:r>
      <w:r>
        <w:rPr>
          <w:bCs/>
        </w:rPr>
        <w:instrText xml:space="preserve"> TOC \n \h \z \t "Key Proposal,1" </w:instrText>
      </w:r>
      <w:r>
        <w:rPr>
          <w:bCs/>
        </w:rPr>
        <w:fldChar w:fldCharType="separate"/>
      </w:r>
      <w:hyperlink w:anchor="_Toc494622569" w:history="1">
        <w:r w:rsidRPr="00E403AA">
          <w:rPr>
            <w:rStyle w:val="Hyperlink"/>
            <w14:scene3d>
              <w14:camera w14:prst="orthographicFront"/>
              <w14:lightRig w14:rig="threePt" w14:dir="t">
                <w14:rot w14:lat="0" w14:lon="0" w14:rev="0"/>
              </w14:lightRig>
            </w14:scene3d>
          </w:rPr>
          <w:t>Key Proposal 1</w:t>
        </w:r>
        <w:r>
          <w:rPr>
            <w:rFonts w:asciiTheme="minorHAnsi" w:eastAsiaTheme="minorEastAsia" w:hAnsiTheme="minorHAnsi" w:cstheme="minorBidi"/>
            <w:b w:val="0"/>
            <w:sz w:val="22"/>
            <w:lang w:eastAsia="en-US"/>
          </w:rPr>
          <w:tab/>
        </w:r>
        <w:r w:rsidRPr="00E403AA">
          <w:rPr>
            <w:rStyle w:val="Hyperlink"/>
          </w:rPr>
          <w:t>NR supports an explicit mechanism for updating the reference to a DL RS used for spatial QCL purposes in the RS Set of a TCI state. The DL RS can be either a periodic CSI-RS, semi-persistent CSI-RS, or an SSB on which the UE has performed a prior measurement. The explicit signalling message contains a TCI value and a reference (CRI or SSB index) to the DL RS. FFS: signalling details.</w:t>
        </w:r>
      </w:hyperlink>
    </w:p>
    <w:p w14:paraId="6F8A2742" w14:textId="15C10E32" w:rsidR="000E0A5C" w:rsidRDefault="007F6935">
      <w:pPr>
        <w:pStyle w:val="TOC1"/>
        <w:rPr>
          <w:rFonts w:asciiTheme="minorHAnsi" w:eastAsiaTheme="minorEastAsia" w:hAnsiTheme="minorHAnsi" w:cstheme="minorBidi"/>
          <w:b w:val="0"/>
          <w:sz w:val="22"/>
          <w:lang w:eastAsia="en-US"/>
        </w:rPr>
      </w:pPr>
      <w:hyperlink w:anchor="_Toc494622570" w:history="1">
        <w:r w:rsidR="000E0A5C" w:rsidRPr="00E403AA">
          <w:rPr>
            <w:rStyle w:val="Hyperlink"/>
            <w14:scene3d>
              <w14:camera w14:prst="orthographicFront"/>
              <w14:lightRig w14:rig="threePt" w14:dir="t">
                <w14:rot w14:lat="0" w14:lon="0" w14:rev="0"/>
              </w14:lightRig>
            </w14:scene3d>
          </w:rPr>
          <w:t>Key Proposal 2</w:t>
        </w:r>
        <w:r w:rsidR="000E0A5C">
          <w:rPr>
            <w:rFonts w:asciiTheme="minorHAnsi" w:eastAsiaTheme="minorEastAsia" w:hAnsiTheme="minorHAnsi" w:cstheme="minorBidi"/>
            <w:b w:val="0"/>
            <w:sz w:val="22"/>
            <w:lang w:eastAsia="en-US"/>
          </w:rPr>
          <w:tab/>
        </w:r>
        <w:r w:rsidR="000E0A5C" w:rsidRPr="00E403AA">
          <w:rPr>
            <w:rStyle w:val="Hyperlink"/>
          </w:rPr>
          <w:t>NR supports an implicit mechanism for updating the reference to a DL RS used for spatial QCL purposes in the RS Set of a TCI state. The DL RS is an aperiodic CSI-RS on which the UE performs a measurement. The DCI that triggers the UE measurement on a set of CSI-RS resources contains a TCI field. Based on the measurement, the UE updates the RS Set of the signalled TCI state with a reference (i.e., CRI) to the preferred CSI-RS resource from the set.</w:t>
        </w:r>
      </w:hyperlink>
    </w:p>
    <w:p w14:paraId="2210F21C" w14:textId="7F26CAAF" w:rsidR="000E0A5C" w:rsidRDefault="007F6935">
      <w:pPr>
        <w:pStyle w:val="TOC1"/>
        <w:rPr>
          <w:rFonts w:asciiTheme="minorHAnsi" w:eastAsiaTheme="minorEastAsia" w:hAnsiTheme="minorHAnsi" w:cstheme="minorBidi"/>
          <w:b w:val="0"/>
          <w:sz w:val="22"/>
          <w:lang w:eastAsia="en-US"/>
        </w:rPr>
      </w:pPr>
      <w:hyperlink w:anchor="_Toc494622571" w:history="1">
        <w:r w:rsidR="000E0A5C" w:rsidRPr="00E403AA">
          <w:rPr>
            <w:rStyle w:val="Hyperlink"/>
            <w14:scene3d>
              <w14:camera w14:prst="orthographicFront"/>
              <w14:lightRig w14:rig="threePt" w14:dir="t">
                <w14:rot w14:lat="0" w14:lon="0" w14:rev="0"/>
              </w14:lightRig>
            </w14:scene3d>
          </w:rPr>
          <w:t>Key Proposal 3</w:t>
        </w:r>
        <w:r w:rsidR="000E0A5C">
          <w:rPr>
            <w:rFonts w:asciiTheme="minorHAnsi" w:eastAsiaTheme="minorEastAsia" w:hAnsiTheme="minorHAnsi" w:cstheme="minorBidi"/>
            <w:b w:val="0"/>
            <w:sz w:val="22"/>
            <w:lang w:eastAsia="en-US"/>
          </w:rPr>
          <w:tab/>
        </w:r>
        <w:r w:rsidR="000E0A5C" w:rsidRPr="00E403AA">
          <w:rPr>
            <w:rStyle w:val="Hyperlink"/>
          </w:rPr>
          <w:t>NR supports a configuration whereby the UE can assume the same QCL reference for PDCCH as indicated through TCI for PDSCH. Prior to slot n, the UE receives a DCI that schedules PDSCH in slot n. The DCI contains a TCI state for the purposes of QCL indication for PDSCH. Within slot n, and in subsequent slots until the next TCI is received, the UE can assume that the DMRS of PDCCH candidates in a configured CORESET is QCL with the DL RS(s) in the RS Set of the same prior indicated TCI state as for PDSCH.</w:t>
        </w:r>
      </w:hyperlink>
    </w:p>
    <w:p w14:paraId="7F24DBA2" w14:textId="7B963A85" w:rsidR="000E0A5C" w:rsidRDefault="007F6935">
      <w:pPr>
        <w:pStyle w:val="TOC1"/>
        <w:rPr>
          <w:rFonts w:asciiTheme="minorHAnsi" w:eastAsiaTheme="minorEastAsia" w:hAnsiTheme="minorHAnsi" w:cstheme="minorBidi"/>
          <w:b w:val="0"/>
          <w:sz w:val="22"/>
          <w:lang w:eastAsia="en-US"/>
        </w:rPr>
      </w:pPr>
      <w:hyperlink w:anchor="_Toc494622572" w:history="1">
        <w:r w:rsidR="000E0A5C" w:rsidRPr="00E403AA">
          <w:rPr>
            <w:rStyle w:val="Hyperlink"/>
            <w14:scene3d>
              <w14:camera w14:prst="orthographicFront"/>
              <w14:lightRig w14:rig="threePt" w14:dir="t">
                <w14:rot w14:lat="0" w14:lon="0" w14:rev="0"/>
              </w14:lightRig>
            </w14:scene3d>
          </w:rPr>
          <w:t>Key Proposal 4</w:t>
        </w:r>
        <w:r w:rsidR="000E0A5C">
          <w:rPr>
            <w:rFonts w:asciiTheme="minorHAnsi" w:eastAsiaTheme="minorEastAsia" w:hAnsiTheme="minorHAnsi" w:cstheme="minorBidi"/>
            <w:b w:val="0"/>
            <w:sz w:val="22"/>
            <w:lang w:eastAsia="en-US"/>
          </w:rPr>
          <w:tab/>
        </w:r>
        <w:r w:rsidR="000E0A5C" w:rsidRPr="00E403AA">
          <w:rPr>
            <w:rStyle w:val="Hyperlink"/>
          </w:rPr>
          <w:t>To support a configuration whereby the UE can assume a common QCL reference for PDCCH and PDSCH, a TCI state configuration contains an information element (IE) indicating whether common QCL is “ON/OFF.” In this context, common QCL “ON” means that the UE can assume the same QCL reference for PDCCH as indicated through the TCI field in DCI for PDSCH. Common QCL “OFF” means that the UE can assume that the QCL reference for PDCCH is provided by the configured reference to a TCI state in the CORESET.</w:t>
        </w:r>
      </w:hyperlink>
    </w:p>
    <w:p w14:paraId="6E5C5ECF" w14:textId="3B632123" w:rsidR="000E0A5C" w:rsidRPr="000E0A5C" w:rsidRDefault="000E0A5C" w:rsidP="008E065E">
      <w:pPr>
        <w:pStyle w:val="BodyText"/>
        <w:rPr>
          <w:bCs/>
          <w:noProof/>
          <w:szCs w:val="22"/>
          <w:lang w:val="en-US"/>
        </w:rPr>
      </w:pPr>
      <w:r>
        <w:rPr>
          <w:bCs/>
          <w:noProof/>
          <w:szCs w:val="22"/>
          <w:lang w:val="en-US"/>
        </w:rPr>
        <w:fldChar w:fldCharType="end"/>
      </w:r>
    </w:p>
    <w:p w14:paraId="04DFA606" w14:textId="0762AD53" w:rsidR="000E0A5C" w:rsidRDefault="000E0A5C" w:rsidP="00E5689D">
      <w:pPr>
        <w:pStyle w:val="BodyText"/>
        <w:rPr>
          <w:noProof/>
        </w:rPr>
      </w:pPr>
      <w:r>
        <w:t>In addition, we propose the following</w:t>
      </w:r>
      <w:r w:rsidR="002611E7">
        <w:t>:</w:t>
      </w:r>
      <w:r w:rsidR="00E5689D">
        <w:rPr>
          <w:b/>
          <w:bCs/>
        </w:rPr>
        <w:fldChar w:fldCharType="begin"/>
      </w:r>
      <w:r w:rsidR="00E5689D">
        <w:rPr>
          <w:b/>
          <w:bCs/>
        </w:rPr>
        <w:instrText xml:space="preserve"> TOC \f \n \p " " \t "Proposal,1" </w:instrText>
      </w:r>
      <w:r w:rsidR="00E5689D">
        <w:rPr>
          <w:b/>
          <w:bCs/>
        </w:rPr>
        <w:fldChar w:fldCharType="separate"/>
      </w:r>
    </w:p>
    <w:p w14:paraId="12F0EF60" w14:textId="77777777" w:rsidR="000E0A5C" w:rsidRDefault="000E0A5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NR supports inclusion of TRS in the RS Set of a TCI state in addition to CSI-RS/SSB. Different QCL types per DL RS are supported as part of the TCI state configuration. FFS: type definitions.</w:t>
      </w:r>
    </w:p>
    <w:p w14:paraId="401BFC62" w14:textId="77777777" w:rsidR="000E0A5C" w:rsidRDefault="000E0A5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TCI field is included in the same DCI as that containing the PDSCH scheduling assignment for both same-slot and cross-slot scheduling.</w:t>
      </w:r>
    </w:p>
    <w:p w14:paraId="0CAE1286" w14:textId="77777777" w:rsidR="000E0A5C" w:rsidRDefault="000E0A5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B52047">
        <w:t>NR supports RRC configuration of M = 2</w:t>
      </w:r>
      <w:r w:rsidRPr="00B52047">
        <w:rPr>
          <w:vertAlign w:val="superscript"/>
        </w:rPr>
        <w:t>N</w:t>
      </w:r>
      <w:r w:rsidRPr="00B52047">
        <w:t xml:space="preserve"> TCI states, where N is the size of the TCI field in DCI used for the purposes of QCL indication.</w:t>
      </w:r>
    </w:p>
    <w:p w14:paraId="60B357CF" w14:textId="54B694A3"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56" w:name="_In-sequence_SDU_delivery"/>
      <w:bookmarkEnd w:id="56"/>
      <w:r w:rsidRPr="00CE0424">
        <w:t>References</w:t>
      </w:r>
    </w:p>
    <w:p w14:paraId="3BC9304B" w14:textId="1F6025CE" w:rsidR="003A7EF3" w:rsidRDefault="009576F4" w:rsidP="00CE0424">
      <w:pPr>
        <w:pStyle w:val="Reference"/>
      </w:pPr>
      <w:bookmarkStart w:id="57" w:name="_Ref494401642"/>
      <w:r>
        <w:t xml:space="preserve">R1-1715337, “Higher layer parameters for NR,” </w:t>
      </w:r>
      <w:r w:rsidR="002C0427">
        <w:t>September, 2017.</w:t>
      </w:r>
      <w:bookmarkEnd w:id="57"/>
    </w:p>
    <w:p w14:paraId="4697184B" w14:textId="16C2507B" w:rsidR="00024D3A" w:rsidRPr="006308AE" w:rsidRDefault="006308AE" w:rsidP="00CE0424">
      <w:pPr>
        <w:pStyle w:val="Reference"/>
      </w:pPr>
      <w:bookmarkStart w:id="58" w:name="_Ref494466986"/>
      <w:r w:rsidRPr="006308AE">
        <w:t>R1-1718452</w:t>
      </w:r>
      <w:r w:rsidR="00D30C83" w:rsidRPr="006308AE">
        <w:t>, “</w:t>
      </w:r>
      <w:r w:rsidRPr="006308AE">
        <w:t>D</w:t>
      </w:r>
      <w:r w:rsidR="00D30C83" w:rsidRPr="006308AE">
        <w:t>etails on QCL,” Ericsson, RAN1#90b, October 2017</w:t>
      </w:r>
      <w:bookmarkEnd w:id="58"/>
      <w:r w:rsidR="00441ED9" w:rsidRPr="006308AE">
        <w:t>.</w:t>
      </w:r>
    </w:p>
    <w:p w14:paraId="0A840523" w14:textId="6709DF4F" w:rsidR="00BC5A3E" w:rsidRPr="006308AE" w:rsidRDefault="006308AE" w:rsidP="00CE0424">
      <w:pPr>
        <w:pStyle w:val="Reference"/>
      </w:pPr>
      <w:bookmarkStart w:id="59" w:name="_Ref494542395"/>
      <w:r w:rsidRPr="006308AE">
        <w:t>R1-1718746</w:t>
      </w:r>
      <w:r w:rsidR="00BC5A3E" w:rsidRPr="006308AE">
        <w:t>, “On common beam for PDSCH and PDCCH,” Ericsson, RAN1#90b, October 2017.</w:t>
      </w:r>
      <w:bookmarkEnd w:id="59"/>
    </w:p>
    <w:p w14:paraId="4AF48445" w14:textId="3A3D8FEA" w:rsidR="00325FE7" w:rsidRPr="006308AE" w:rsidRDefault="00325FE7" w:rsidP="00CE0424">
      <w:pPr>
        <w:pStyle w:val="Reference"/>
      </w:pPr>
      <w:bookmarkStart w:id="60" w:name="_Ref494628853"/>
      <w:r w:rsidRPr="006308AE">
        <w:t>R1-1702674, “Beam management overview,” Ericsson, RAN1#88, February 2017.</w:t>
      </w:r>
      <w:bookmarkEnd w:id="60"/>
    </w:p>
    <w:p w14:paraId="400A1A20" w14:textId="10432E5F" w:rsidR="00441ED9" w:rsidRPr="006308AE" w:rsidRDefault="006308AE" w:rsidP="00CE0424">
      <w:pPr>
        <w:pStyle w:val="Reference"/>
      </w:pPr>
      <w:bookmarkStart w:id="61" w:name="_Ref494572526"/>
      <w:r w:rsidRPr="006308AE">
        <w:t>R1-1718747</w:t>
      </w:r>
      <w:r w:rsidR="00441ED9" w:rsidRPr="006308AE">
        <w:t>, “On UL beam indication,” Ericsson, RAN1#90b, October 2017.</w:t>
      </w:r>
      <w:bookmarkEnd w:id="61"/>
    </w:p>
    <w:p w14:paraId="58F96D16" w14:textId="15FDEC4D" w:rsidR="007A004A" w:rsidRDefault="006308AE" w:rsidP="007A004A">
      <w:pPr>
        <w:pStyle w:val="Reference"/>
      </w:pPr>
      <w:bookmarkStart w:id="62" w:name="_Ref494482522"/>
      <w:r w:rsidRPr="006308AE">
        <w:t>R1-1718744</w:t>
      </w:r>
      <w:r w:rsidR="007A004A">
        <w:t>, “</w:t>
      </w:r>
      <w:r w:rsidR="007A004A" w:rsidRPr="008A14D4">
        <w:t>Details of SS beam reporting framework</w:t>
      </w:r>
      <w:r w:rsidR="007A004A">
        <w:t>,” Ericsson, RAN1#90b, October 2017</w:t>
      </w:r>
      <w:bookmarkEnd w:id="62"/>
      <w:r w:rsidR="007A004A">
        <w:t>.</w:t>
      </w:r>
    </w:p>
    <w:p w14:paraId="7F69EC4A" w14:textId="2B6F4D09" w:rsidR="00DB1C97" w:rsidRDefault="00DB1C97">
      <w:pPr>
        <w:overflowPunct/>
        <w:autoSpaceDE/>
        <w:autoSpaceDN/>
        <w:adjustRightInd/>
        <w:spacing w:after="0"/>
        <w:jc w:val="left"/>
        <w:textAlignment w:val="auto"/>
      </w:pPr>
      <w:r>
        <w:br w:type="page"/>
      </w:r>
    </w:p>
    <w:p w14:paraId="16C90DFB" w14:textId="4B6923BF" w:rsidR="005B721B" w:rsidRDefault="005B721B" w:rsidP="005B721B">
      <w:pPr>
        <w:pStyle w:val="Heading1"/>
      </w:pPr>
      <w:r>
        <w:lastRenderedPageBreak/>
        <w:t>Previous Agreements</w:t>
      </w:r>
    </w:p>
    <w:p w14:paraId="03E851D1" w14:textId="6BEB6D14" w:rsidR="005B721B" w:rsidRDefault="005B721B" w:rsidP="005B721B">
      <w:r>
        <w:t>The following three agreement</w:t>
      </w:r>
      <w:r w:rsidR="005B69C3">
        <w:t>s were made in RAN1 Ad Hoc #3 (</w:t>
      </w:r>
      <w:r>
        <w:t>Nagoya</w:t>
      </w:r>
      <w:r w:rsidR="005B69C3">
        <w:t>)</w:t>
      </w:r>
      <w:r>
        <w:t>, relating to configuration of TCI states</w:t>
      </w:r>
      <w:r w:rsidR="00463779">
        <w:t xml:space="preserve">,  </w:t>
      </w:r>
      <w:r>
        <w:t>QCL</w:t>
      </w:r>
      <w:r w:rsidR="00463779">
        <w:t xml:space="preserve"> indication for PDSCH and PDCCH, and L1-RSRP measurement/reporting on SSB.</w:t>
      </w:r>
    </w:p>
    <w:p w14:paraId="0EE9E5D5" w14:textId="535EE1D0" w:rsidR="005B721B" w:rsidRPr="00AA51AF" w:rsidRDefault="005B721B" w:rsidP="005B721B">
      <w:pPr>
        <w:rPr>
          <w:b/>
        </w:rPr>
      </w:pPr>
      <w:r w:rsidRPr="005B721B">
        <w:rPr>
          <w:b/>
          <w:highlight w:val="green"/>
          <w:u w:val="single"/>
        </w:rPr>
        <w:t>Agreement #1</w:t>
      </w:r>
      <w:r w:rsidR="00463779" w:rsidRPr="00463779">
        <w:rPr>
          <w:b/>
        </w:rPr>
        <w:t>:</w:t>
      </w:r>
      <w:r w:rsidRPr="00463779">
        <w:rPr>
          <w:b/>
        </w:rPr>
        <w:t xml:space="preserve"> (</w:t>
      </w:r>
      <w:r>
        <w:rPr>
          <w:b/>
        </w:rPr>
        <w:t>Configuration of TCI states)</w:t>
      </w:r>
    </w:p>
    <w:p w14:paraId="3E22E43C" w14:textId="77777777" w:rsidR="005B721B" w:rsidRPr="00AA51AF" w:rsidRDefault="005B721B" w:rsidP="005B721B">
      <w:r w:rsidRPr="00AA51AF">
        <w:t>A UE is RRC configured with a list of up to M candidate Transmission Configuration Indication (TCI) states at least for the purposes of QCL indication</w:t>
      </w:r>
    </w:p>
    <w:p w14:paraId="5B9AB30D" w14:textId="77777777" w:rsidR="005B721B" w:rsidRPr="00BD2B69" w:rsidRDefault="005B721B" w:rsidP="005B721B">
      <w:pPr>
        <w:numPr>
          <w:ilvl w:val="0"/>
          <w:numId w:val="17"/>
        </w:numPr>
        <w:overflowPunct/>
        <w:autoSpaceDE/>
        <w:autoSpaceDN/>
        <w:adjustRightInd/>
        <w:spacing w:after="0"/>
        <w:jc w:val="left"/>
        <w:textAlignment w:val="auto"/>
        <w:rPr>
          <w:lang w:val="en-US" w:eastAsia="x-none"/>
        </w:rPr>
      </w:pPr>
      <w:r w:rsidRPr="00BD2B69">
        <w:rPr>
          <w:lang w:val="en-US" w:eastAsia="x-none"/>
        </w:rPr>
        <w:t>Whether M equal to or larger than 2</w:t>
      </w:r>
      <w:r w:rsidRPr="00BD2B69">
        <w:rPr>
          <w:vertAlign w:val="superscript"/>
          <w:lang w:val="en-US" w:eastAsia="x-none"/>
        </w:rPr>
        <w:t>N</w:t>
      </w:r>
      <w:r w:rsidRPr="00BD2B69">
        <w:rPr>
          <w:lang w:val="en-US" w:eastAsia="x-none"/>
        </w:rPr>
        <w:t xml:space="preserve"> is </w:t>
      </w:r>
      <w:r w:rsidRPr="007C4B79">
        <w:rPr>
          <w:highlight w:val="yellow"/>
          <w:lang w:val="en-US" w:eastAsia="x-none"/>
        </w:rPr>
        <w:t>for further study</w:t>
      </w:r>
      <w:r w:rsidRPr="00BD2B69">
        <w:rPr>
          <w:lang w:val="en-US" w:eastAsia="x-none"/>
        </w:rPr>
        <w:t>, where N is the size of the DCI field for PDSCH</w:t>
      </w:r>
    </w:p>
    <w:p w14:paraId="58D3F115" w14:textId="77777777" w:rsidR="005B721B" w:rsidRPr="00BD2B69" w:rsidRDefault="005B721B" w:rsidP="005B721B">
      <w:pPr>
        <w:numPr>
          <w:ilvl w:val="0"/>
          <w:numId w:val="17"/>
        </w:numPr>
        <w:overflowPunct/>
        <w:autoSpaceDE/>
        <w:autoSpaceDN/>
        <w:adjustRightInd/>
        <w:spacing w:after="0"/>
        <w:jc w:val="left"/>
        <w:textAlignment w:val="auto"/>
        <w:rPr>
          <w:lang w:val="en-US" w:eastAsia="x-none"/>
        </w:rPr>
      </w:pPr>
      <w:r w:rsidRPr="007C4B79">
        <w:rPr>
          <w:highlight w:val="yellow"/>
          <w:lang w:val="en-US" w:eastAsia="x-none"/>
        </w:rPr>
        <w:t>FFS</w:t>
      </w:r>
      <w:r w:rsidRPr="00BD2B69">
        <w:rPr>
          <w:lang w:val="en-US" w:eastAsia="x-none"/>
        </w:rPr>
        <w:t>: Mapping between the candidate states to the states described by N bit DCI field for PDSCH</w:t>
      </w:r>
    </w:p>
    <w:p w14:paraId="55D49A07" w14:textId="77777777" w:rsidR="005B721B" w:rsidRPr="00BD2B69" w:rsidRDefault="005B721B" w:rsidP="005B721B">
      <w:pPr>
        <w:numPr>
          <w:ilvl w:val="0"/>
          <w:numId w:val="17"/>
        </w:numPr>
        <w:overflowPunct/>
        <w:autoSpaceDE/>
        <w:autoSpaceDN/>
        <w:adjustRightInd/>
        <w:spacing w:after="0"/>
        <w:jc w:val="left"/>
        <w:textAlignment w:val="auto"/>
        <w:rPr>
          <w:lang w:val="en-US" w:eastAsia="x-none"/>
        </w:rPr>
      </w:pPr>
      <w:r w:rsidRPr="00BD2B69">
        <w:rPr>
          <w:lang w:val="en-US" w:eastAsia="x-none"/>
        </w:rPr>
        <w:t>Each TCI state can be configured with one RS Set</w:t>
      </w:r>
    </w:p>
    <w:p w14:paraId="5825F1DB" w14:textId="77777777" w:rsidR="005B721B" w:rsidRPr="00BD2B69" w:rsidRDefault="005B721B" w:rsidP="005B721B">
      <w:pPr>
        <w:numPr>
          <w:ilvl w:val="0"/>
          <w:numId w:val="17"/>
        </w:numPr>
        <w:overflowPunct/>
        <w:autoSpaceDE/>
        <w:autoSpaceDN/>
        <w:adjustRightInd/>
        <w:spacing w:after="0"/>
        <w:jc w:val="left"/>
        <w:textAlignment w:val="auto"/>
        <w:rPr>
          <w:lang w:val="en-US" w:eastAsia="x-none"/>
        </w:rPr>
      </w:pPr>
      <w:r w:rsidRPr="00BD2B69">
        <w:rPr>
          <w:lang w:val="en-US" w:eastAsia="x-none"/>
        </w:rPr>
        <w:t>Each ID (FFS: details of ID) of DL RS at least for the purpose of spatial QCL in an RS Set can refer to one of the following DL RS types:</w:t>
      </w:r>
    </w:p>
    <w:p w14:paraId="42BC4D4E" w14:textId="77777777" w:rsidR="005B721B" w:rsidRPr="00BD2B69" w:rsidRDefault="005B721B" w:rsidP="005B721B">
      <w:pPr>
        <w:numPr>
          <w:ilvl w:val="1"/>
          <w:numId w:val="16"/>
        </w:numPr>
        <w:tabs>
          <w:tab w:val="left" w:pos="1440"/>
        </w:tabs>
        <w:overflowPunct/>
        <w:autoSpaceDE/>
        <w:autoSpaceDN/>
        <w:adjustRightInd/>
        <w:spacing w:after="0"/>
        <w:jc w:val="left"/>
        <w:textAlignment w:val="auto"/>
        <w:rPr>
          <w:lang w:val="en-US" w:eastAsia="x-none"/>
        </w:rPr>
      </w:pPr>
      <w:r w:rsidRPr="00BD2B69">
        <w:rPr>
          <w:lang w:val="en-US" w:eastAsia="x-none"/>
        </w:rPr>
        <w:t>SSB</w:t>
      </w:r>
    </w:p>
    <w:p w14:paraId="4CEE6EA5" w14:textId="77777777" w:rsidR="005B721B" w:rsidRPr="00BD2B69" w:rsidRDefault="005B721B" w:rsidP="005B721B">
      <w:pPr>
        <w:numPr>
          <w:ilvl w:val="1"/>
          <w:numId w:val="16"/>
        </w:numPr>
        <w:tabs>
          <w:tab w:val="left" w:pos="1440"/>
        </w:tabs>
        <w:overflowPunct/>
        <w:autoSpaceDE/>
        <w:autoSpaceDN/>
        <w:adjustRightInd/>
        <w:spacing w:after="0"/>
        <w:jc w:val="left"/>
        <w:textAlignment w:val="auto"/>
        <w:rPr>
          <w:lang w:val="en-US" w:eastAsia="x-none"/>
        </w:rPr>
      </w:pPr>
      <w:r w:rsidRPr="00BD2B69">
        <w:rPr>
          <w:lang w:val="en-US" w:eastAsia="x-none"/>
        </w:rPr>
        <w:t>Periodic CSI-RS</w:t>
      </w:r>
    </w:p>
    <w:p w14:paraId="72178A74" w14:textId="77777777" w:rsidR="005B721B" w:rsidRPr="00BD2B69" w:rsidRDefault="005B721B" w:rsidP="005B721B">
      <w:pPr>
        <w:numPr>
          <w:ilvl w:val="1"/>
          <w:numId w:val="16"/>
        </w:numPr>
        <w:tabs>
          <w:tab w:val="left" w:pos="1440"/>
        </w:tabs>
        <w:overflowPunct/>
        <w:autoSpaceDE/>
        <w:autoSpaceDN/>
        <w:adjustRightInd/>
        <w:spacing w:after="0"/>
        <w:jc w:val="left"/>
        <w:textAlignment w:val="auto"/>
        <w:rPr>
          <w:lang w:val="en-US" w:eastAsia="x-none"/>
        </w:rPr>
      </w:pPr>
      <w:r w:rsidRPr="00BD2B69">
        <w:rPr>
          <w:lang w:val="en-US" w:eastAsia="x-none"/>
        </w:rPr>
        <w:t>Aperiodic CSI-RS</w:t>
      </w:r>
    </w:p>
    <w:p w14:paraId="0C276E2B" w14:textId="77777777" w:rsidR="005B721B" w:rsidRPr="00BD2B69" w:rsidRDefault="005B721B" w:rsidP="005B721B">
      <w:pPr>
        <w:numPr>
          <w:ilvl w:val="1"/>
          <w:numId w:val="16"/>
        </w:numPr>
        <w:tabs>
          <w:tab w:val="left" w:pos="1440"/>
        </w:tabs>
        <w:overflowPunct/>
        <w:autoSpaceDE/>
        <w:autoSpaceDN/>
        <w:adjustRightInd/>
        <w:spacing w:after="0"/>
        <w:jc w:val="left"/>
        <w:textAlignment w:val="auto"/>
        <w:rPr>
          <w:lang w:val="en-US" w:eastAsia="x-none"/>
        </w:rPr>
      </w:pPr>
      <w:r w:rsidRPr="00BD2B69">
        <w:rPr>
          <w:lang w:val="en-US" w:eastAsia="x-none"/>
        </w:rPr>
        <w:t>Semi-persistent CSI-RS</w:t>
      </w:r>
    </w:p>
    <w:p w14:paraId="5FBA1BFF" w14:textId="77777777" w:rsidR="005B721B" w:rsidRPr="00BD2B69" w:rsidRDefault="005B721B" w:rsidP="005B721B">
      <w:pPr>
        <w:numPr>
          <w:ilvl w:val="0"/>
          <w:numId w:val="17"/>
        </w:numPr>
        <w:overflowPunct/>
        <w:autoSpaceDE/>
        <w:autoSpaceDN/>
        <w:adjustRightInd/>
        <w:spacing w:after="0"/>
        <w:jc w:val="left"/>
        <w:textAlignment w:val="auto"/>
        <w:rPr>
          <w:lang w:val="en-US" w:eastAsia="x-none"/>
        </w:rPr>
      </w:pPr>
      <w:bookmarkStart w:id="63" w:name="_Hlk494400611"/>
      <w:r w:rsidRPr="007C4B79">
        <w:rPr>
          <w:highlight w:val="yellow"/>
          <w:lang w:val="en-US" w:eastAsia="x-none"/>
        </w:rPr>
        <w:t>FFS</w:t>
      </w:r>
      <w:r w:rsidRPr="00BD2B69">
        <w:rPr>
          <w:lang w:val="en-US" w:eastAsia="x-none"/>
        </w:rPr>
        <w:t>: Other RS (e.g. TRS, PTRS) in an RS set depending on outcome of discussions in the QCL agenda item</w:t>
      </w:r>
    </w:p>
    <w:p w14:paraId="01D0DE35" w14:textId="77777777" w:rsidR="005B721B" w:rsidRPr="00AA51AF" w:rsidRDefault="005B721B" w:rsidP="005B721B">
      <w:pPr>
        <w:numPr>
          <w:ilvl w:val="0"/>
          <w:numId w:val="17"/>
        </w:numPr>
        <w:overflowPunct/>
        <w:autoSpaceDE/>
        <w:autoSpaceDN/>
        <w:adjustRightInd/>
        <w:spacing w:after="0"/>
        <w:jc w:val="left"/>
        <w:textAlignment w:val="auto"/>
        <w:rPr>
          <w:lang w:val="en-US" w:eastAsia="x-none"/>
        </w:rPr>
      </w:pPr>
      <w:bookmarkStart w:id="64" w:name="_Hlk494400486"/>
      <w:bookmarkEnd w:id="63"/>
      <w:r w:rsidRPr="007C4B79">
        <w:rPr>
          <w:highlight w:val="yellow"/>
          <w:lang w:val="en-US" w:eastAsia="x-none"/>
        </w:rPr>
        <w:t>FFS</w:t>
      </w:r>
      <w:r w:rsidRPr="00BD2B69">
        <w:rPr>
          <w:lang w:val="en-US" w:eastAsia="x-none"/>
        </w:rPr>
        <w:t>: Mechanisms to initialize/update the ID of a DL RS(s) in the RS Set used at least for spatial QCL purposes</w:t>
      </w:r>
    </w:p>
    <w:p w14:paraId="44E93F31" w14:textId="77777777" w:rsidR="005B721B" w:rsidRPr="00BD2B69" w:rsidRDefault="005B721B" w:rsidP="005B721B">
      <w:pPr>
        <w:numPr>
          <w:ilvl w:val="1"/>
          <w:numId w:val="16"/>
        </w:numPr>
        <w:tabs>
          <w:tab w:val="left" w:pos="1440"/>
        </w:tabs>
        <w:overflowPunct/>
        <w:autoSpaceDE/>
        <w:autoSpaceDN/>
        <w:adjustRightInd/>
        <w:spacing w:after="0"/>
        <w:jc w:val="left"/>
        <w:textAlignment w:val="auto"/>
        <w:rPr>
          <w:lang w:val="en-US" w:eastAsia="x-none"/>
        </w:rPr>
      </w:pPr>
      <w:r w:rsidRPr="00BD2B69">
        <w:rPr>
          <w:lang w:val="en-US" w:eastAsia="x-none"/>
        </w:rPr>
        <w:t xml:space="preserve">At least the following two mechanisms are FFS: (1) explicit </w:t>
      </w:r>
      <w:proofErr w:type="spellStart"/>
      <w:r w:rsidRPr="00BD2B69">
        <w:rPr>
          <w:lang w:val="en-US" w:eastAsia="x-none"/>
        </w:rPr>
        <w:t>signalling</w:t>
      </w:r>
      <w:proofErr w:type="spellEnd"/>
      <w:r w:rsidRPr="00BD2B69">
        <w:rPr>
          <w:lang w:val="en-US" w:eastAsia="x-none"/>
        </w:rPr>
        <w:t xml:space="preserve"> to the UE of the DL RS(s) ID and corresponding TCI state (2) implicit association of the DL RS ID(s) to a TCI state based on measurements by the UE.</w:t>
      </w:r>
    </w:p>
    <w:p w14:paraId="432A0D86" w14:textId="77777777" w:rsidR="005B721B" w:rsidRPr="00BD2B69" w:rsidRDefault="005B721B" w:rsidP="005B721B">
      <w:pPr>
        <w:numPr>
          <w:ilvl w:val="1"/>
          <w:numId w:val="16"/>
        </w:numPr>
        <w:tabs>
          <w:tab w:val="left" w:pos="1440"/>
        </w:tabs>
        <w:overflowPunct/>
        <w:autoSpaceDE/>
        <w:autoSpaceDN/>
        <w:adjustRightInd/>
        <w:spacing w:after="0"/>
        <w:jc w:val="left"/>
        <w:textAlignment w:val="auto"/>
        <w:rPr>
          <w:lang w:val="en-US" w:eastAsia="x-none"/>
        </w:rPr>
      </w:pPr>
      <w:r w:rsidRPr="00BD2B69">
        <w:rPr>
          <w:lang w:val="en-US" w:eastAsia="x-none"/>
        </w:rPr>
        <w:t xml:space="preserve">The mechanisms used for different RS types are </w:t>
      </w:r>
      <w:r w:rsidRPr="007C4B79">
        <w:rPr>
          <w:highlight w:val="yellow"/>
          <w:lang w:val="en-US" w:eastAsia="x-none"/>
        </w:rPr>
        <w:t>FFS</w:t>
      </w:r>
    </w:p>
    <w:bookmarkEnd w:id="64"/>
    <w:p w14:paraId="3F55AC8A" w14:textId="77777777" w:rsidR="005B721B" w:rsidRPr="00BD2B69" w:rsidRDefault="005B721B" w:rsidP="005B721B">
      <w:pPr>
        <w:numPr>
          <w:ilvl w:val="0"/>
          <w:numId w:val="17"/>
        </w:numPr>
        <w:overflowPunct/>
        <w:autoSpaceDE/>
        <w:autoSpaceDN/>
        <w:adjustRightInd/>
        <w:spacing w:after="0"/>
        <w:jc w:val="left"/>
        <w:textAlignment w:val="auto"/>
        <w:rPr>
          <w:lang w:val="en-US" w:eastAsia="x-none"/>
        </w:rPr>
      </w:pPr>
      <w:r w:rsidRPr="007C4B79">
        <w:rPr>
          <w:highlight w:val="yellow"/>
          <w:lang w:val="en-US" w:eastAsia="x-none"/>
        </w:rPr>
        <w:t>FFS</w:t>
      </w:r>
      <w:r w:rsidRPr="00BD2B69">
        <w:rPr>
          <w:lang w:val="en-US" w:eastAsia="x-none"/>
        </w:rPr>
        <w:t>: Whether or not a TCI state includes other parameters(s), e.g., for PDSCH rate matching purposes</w:t>
      </w:r>
    </w:p>
    <w:p w14:paraId="54C90253" w14:textId="77777777" w:rsidR="005B721B" w:rsidRPr="00BD2B69" w:rsidRDefault="005B721B" w:rsidP="005B721B">
      <w:pPr>
        <w:numPr>
          <w:ilvl w:val="0"/>
          <w:numId w:val="17"/>
        </w:numPr>
        <w:overflowPunct/>
        <w:autoSpaceDE/>
        <w:autoSpaceDN/>
        <w:adjustRightInd/>
        <w:spacing w:after="0"/>
        <w:jc w:val="left"/>
        <w:textAlignment w:val="auto"/>
        <w:rPr>
          <w:lang w:val="en-US" w:eastAsia="x-none"/>
        </w:rPr>
      </w:pPr>
      <w:r w:rsidRPr="007C4B79">
        <w:rPr>
          <w:highlight w:val="yellow"/>
          <w:lang w:val="en-US" w:eastAsia="x-none"/>
        </w:rPr>
        <w:t>FFS</w:t>
      </w:r>
      <w:r w:rsidRPr="00BD2B69">
        <w:rPr>
          <w:lang w:val="en-US" w:eastAsia="x-none"/>
        </w:rPr>
        <w:t>: Value of N, where N is at most [3] bits</w:t>
      </w:r>
    </w:p>
    <w:p w14:paraId="09390322" w14:textId="674AF2C0" w:rsidR="005B721B" w:rsidRPr="00AA51AF" w:rsidRDefault="005B721B" w:rsidP="005B721B">
      <w:r w:rsidRPr="00AA51AF">
        <w:t>Note: More details on specification of more than one DMRS port group and more than one RS Set per TCI state is to be completed after the December release.</w:t>
      </w:r>
    </w:p>
    <w:p w14:paraId="129C83C1" w14:textId="77777777" w:rsidR="005B721B" w:rsidRDefault="005B721B" w:rsidP="005B721B"/>
    <w:p w14:paraId="1977344D" w14:textId="7455E189" w:rsidR="005B721B" w:rsidRPr="005B721B" w:rsidRDefault="005B721B" w:rsidP="005B721B">
      <w:pPr>
        <w:rPr>
          <w:b/>
          <w:highlight w:val="green"/>
        </w:rPr>
      </w:pPr>
      <w:r w:rsidRPr="005B721B">
        <w:rPr>
          <w:b/>
          <w:highlight w:val="green"/>
          <w:u w:val="single"/>
        </w:rPr>
        <w:t>Agreement</w:t>
      </w:r>
      <w:r>
        <w:rPr>
          <w:b/>
          <w:highlight w:val="green"/>
          <w:u w:val="single"/>
        </w:rPr>
        <w:t xml:space="preserve"> #2</w:t>
      </w:r>
      <w:r w:rsidR="00463779" w:rsidRPr="00463779">
        <w:rPr>
          <w:b/>
        </w:rPr>
        <w:t xml:space="preserve">: </w:t>
      </w:r>
      <w:r w:rsidRPr="00463779">
        <w:rPr>
          <w:b/>
        </w:rPr>
        <w:t>(QCL indication for PDSCH)</w:t>
      </w:r>
    </w:p>
    <w:p w14:paraId="0D1E367D" w14:textId="77777777" w:rsidR="005B721B" w:rsidRPr="00BC682A" w:rsidRDefault="005B721B" w:rsidP="005B721B">
      <w:pPr>
        <w:numPr>
          <w:ilvl w:val="0"/>
          <w:numId w:val="18"/>
        </w:numPr>
        <w:overflowPunct/>
        <w:autoSpaceDE/>
        <w:autoSpaceDN/>
        <w:adjustRightInd/>
        <w:spacing w:after="0"/>
        <w:jc w:val="left"/>
        <w:textAlignment w:val="auto"/>
      </w:pPr>
      <w:r w:rsidRPr="00BC682A">
        <w:rPr>
          <w:bCs/>
        </w:rPr>
        <w:t>For QCL indication for PDSCH</w:t>
      </w:r>
      <w:r w:rsidRPr="00BC682A">
        <w:t>:</w:t>
      </w:r>
    </w:p>
    <w:p w14:paraId="5B1D0E24" w14:textId="77777777" w:rsidR="005B721B" w:rsidRPr="00FA3C94" w:rsidRDefault="005B721B" w:rsidP="005B721B">
      <w:pPr>
        <w:numPr>
          <w:ilvl w:val="1"/>
          <w:numId w:val="18"/>
        </w:numPr>
        <w:overflowPunct/>
        <w:autoSpaceDE/>
        <w:autoSpaceDN/>
        <w:adjustRightInd/>
        <w:spacing w:after="0"/>
        <w:jc w:val="left"/>
        <w:textAlignment w:val="auto"/>
      </w:pPr>
      <w:r w:rsidRPr="00FA3C94">
        <w:t>When TCI states are used for QCL indication, the UE receives an N-bit TCI field in DCI</w:t>
      </w:r>
    </w:p>
    <w:p w14:paraId="04B457F9" w14:textId="77777777" w:rsidR="005B721B" w:rsidRPr="00FA3C94" w:rsidRDefault="005B721B" w:rsidP="005B721B">
      <w:pPr>
        <w:numPr>
          <w:ilvl w:val="2"/>
          <w:numId w:val="18"/>
        </w:numPr>
        <w:overflowPunct/>
        <w:autoSpaceDE/>
        <w:autoSpaceDN/>
        <w:adjustRightInd/>
        <w:spacing w:after="0"/>
        <w:jc w:val="left"/>
        <w:textAlignment w:val="auto"/>
      </w:pPr>
      <w:r w:rsidRPr="00FA3C94">
        <w:t xml:space="preserve">The UE assumes that the PDSCH DMRS is QCL with the DL RS(s) in the RS Set corresponding to the </w:t>
      </w:r>
      <w:proofErr w:type="spellStart"/>
      <w:r w:rsidRPr="00FA3C94">
        <w:t>signaled</w:t>
      </w:r>
      <w:proofErr w:type="spellEnd"/>
      <w:r w:rsidRPr="00FA3C94">
        <w:t xml:space="preserve"> TCI state</w:t>
      </w:r>
    </w:p>
    <w:p w14:paraId="159FAFCB" w14:textId="77777777" w:rsidR="005B721B" w:rsidRPr="00FA3C94" w:rsidRDefault="005B721B" w:rsidP="005B721B">
      <w:pPr>
        <w:numPr>
          <w:ilvl w:val="3"/>
          <w:numId w:val="18"/>
        </w:numPr>
        <w:overflowPunct/>
        <w:autoSpaceDE/>
        <w:autoSpaceDN/>
        <w:adjustRightInd/>
        <w:spacing w:after="0"/>
        <w:jc w:val="left"/>
        <w:textAlignment w:val="auto"/>
      </w:pPr>
      <w:r w:rsidRPr="007C4B79">
        <w:rPr>
          <w:highlight w:val="yellow"/>
        </w:rPr>
        <w:t>FFS</w:t>
      </w:r>
      <w:r w:rsidRPr="00FA3C94">
        <w:t>: whether or not a QCL type is configured, configuration details are for further study</w:t>
      </w:r>
    </w:p>
    <w:p w14:paraId="2A27CB66" w14:textId="77777777" w:rsidR="005B721B" w:rsidRPr="00FA3C94" w:rsidRDefault="005B721B" w:rsidP="005B721B">
      <w:pPr>
        <w:numPr>
          <w:ilvl w:val="1"/>
          <w:numId w:val="18"/>
        </w:numPr>
        <w:overflowPunct/>
        <w:autoSpaceDE/>
        <w:autoSpaceDN/>
        <w:adjustRightInd/>
        <w:spacing w:after="0"/>
        <w:jc w:val="left"/>
        <w:textAlignment w:val="auto"/>
      </w:pPr>
      <w:r w:rsidRPr="00FA3C94">
        <w:t xml:space="preserve"> Whether or not the TCI field is always present in a given DL-related DCI is </w:t>
      </w:r>
      <w:r w:rsidRPr="007C4B79">
        <w:rPr>
          <w:highlight w:val="yellow"/>
        </w:rPr>
        <w:t>FFS</w:t>
      </w:r>
    </w:p>
    <w:p w14:paraId="53B2DAED" w14:textId="77777777" w:rsidR="005B721B" w:rsidRPr="00FA3C94" w:rsidRDefault="005B721B" w:rsidP="005B721B">
      <w:pPr>
        <w:numPr>
          <w:ilvl w:val="1"/>
          <w:numId w:val="18"/>
        </w:numPr>
        <w:overflowPunct/>
        <w:autoSpaceDE/>
        <w:autoSpaceDN/>
        <w:adjustRightInd/>
        <w:spacing w:after="0"/>
        <w:jc w:val="left"/>
        <w:textAlignment w:val="auto"/>
      </w:pPr>
      <w:r w:rsidRPr="007C4B79">
        <w:rPr>
          <w:highlight w:val="yellow"/>
        </w:rPr>
        <w:t>FFS</w:t>
      </w:r>
      <w:r w:rsidRPr="00FA3C94">
        <w:t>: Whether or not the TCI field is in the same DCI as that containing the PDSCH scheduling assignment</w:t>
      </w:r>
    </w:p>
    <w:p w14:paraId="0F858BE5" w14:textId="77777777" w:rsidR="005B721B" w:rsidRPr="00FA3C94" w:rsidRDefault="005B721B" w:rsidP="005B721B">
      <w:pPr>
        <w:numPr>
          <w:ilvl w:val="0"/>
          <w:numId w:val="18"/>
        </w:numPr>
        <w:overflowPunct/>
        <w:autoSpaceDE/>
        <w:autoSpaceDN/>
        <w:adjustRightInd/>
        <w:spacing w:after="0"/>
        <w:jc w:val="left"/>
        <w:textAlignment w:val="auto"/>
      </w:pPr>
      <w:r w:rsidRPr="00BC3A8B">
        <w:t>FFS</w:t>
      </w:r>
      <w:r w:rsidRPr="00FA3C94">
        <w:t>: Timing between when the UE receives a QCL configuration/indication and the first time that the QCL assumption may be applied for demodulation of PDSCH or PDCCH</w:t>
      </w:r>
    </w:p>
    <w:p w14:paraId="455EFF01" w14:textId="77777777" w:rsidR="005B721B" w:rsidRPr="005B721B" w:rsidRDefault="005B721B" w:rsidP="005B721B"/>
    <w:p w14:paraId="39B2C71D" w14:textId="7B027304" w:rsidR="005B721B" w:rsidRPr="007D7074" w:rsidRDefault="005B721B" w:rsidP="005B721B">
      <w:pPr>
        <w:rPr>
          <w:b/>
        </w:rPr>
      </w:pPr>
      <w:r w:rsidRPr="005B721B">
        <w:rPr>
          <w:b/>
          <w:highlight w:val="green"/>
          <w:u w:val="single"/>
        </w:rPr>
        <w:t>Agreement</w:t>
      </w:r>
      <w:r>
        <w:rPr>
          <w:b/>
          <w:highlight w:val="green"/>
          <w:u w:val="single"/>
        </w:rPr>
        <w:t xml:space="preserve"> #3</w:t>
      </w:r>
      <w:r w:rsidR="00463779" w:rsidRPr="00463779">
        <w:rPr>
          <w:b/>
        </w:rPr>
        <w:t>:</w:t>
      </w:r>
      <w:r w:rsidRPr="00463779">
        <w:rPr>
          <w:b/>
        </w:rPr>
        <w:t xml:space="preserve"> (QCL indication for PDCCH)</w:t>
      </w:r>
    </w:p>
    <w:p w14:paraId="1A8D7489" w14:textId="77777777" w:rsidR="005B721B" w:rsidRPr="007D7074" w:rsidRDefault="005B721B" w:rsidP="005B721B">
      <w:r w:rsidRPr="007D7074">
        <w:t>The QCL configuration for PDCCH contains the information which provides a reference to a TCI state</w:t>
      </w:r>
    </w:p>
    <w:p w14:paraId="3FBC6CCF" w14:textId="77777777" w:rsidR="005B721B" w:rsidRDefault="005B721B" w:rsidP="005B721B">
      <w:pPr>
        <w:numPr>
          <w:ilvl w:val="0"/>
          <w:numId w:val="17"/>
        </w:numPr>
        <w:overflowPunct/>
        <w:autoSpaceDE/>
        <w:autoSpaceDN/>
        <w:adjustRightInd/>
        <w:spacing w:after="0"/>
        <w:jc w:val="left"/>
        <w:textAlignment w:val="auto"/>
        <w:rPr>
          <w:lang w:val="en-US" w:eastAsia="x-none"/>
        </w:rPr>
      </w:pPr>
      <w:r w:rsidRPr="007C4B79">
        <w:rPr>
          <w:highlight w:val="yellow"/>
          <w:lang w:val="en-US" w:eastAsia="x-none"/>
        </w:rPr>
        <w:t>Alt 1</w:t>
      </w:r>
      <w:r w:rsidRPr="00BD2B69">
        <w:rPr>
          <w:lang w:val="en-US" w:eastAsia="x-none"/>
        </w:rPr>
        <w:t>: The QCL configuration/indication is on a per CORESET basis</w:t>
      </w:r>
    </w:p>
    <w:p w14:paraId="3AA70E27" w14:textId="77777777" w:rsidR="005B721B" w:rsidRPr="00BD2B69" w:rsidRDefault="005B721B" w:rsidP="005B721B">
      <w:pPr>
        <w:numPr>
          <w:ilvl w:val="1"/>
          <w:numId w:val="17"/>
        </w:numPr>
        <w:overflowPunct/>
        <w:autoSpaceDE/>
        <w:autoSpaceDN/>
        <w:adjustRightInd/>
        <w:spacing w:after="0"/>
        <w:jc w:val="left"/>
        <w:textAlignment w:val="auto"/>
        <w:rPr>
          <w:lang w:val="en-US" w:eastAsia="x-none"/>
        </w:rPr>
      </w:pPr>
      <w:r w:rsidRPr="00535A25">
        <w:rPr>
          <w:lang w:val="en-US" w:eastAsia="x-none"/>
        </w:rPr>
        <w:t>The UE applies the QCL assumption on the associated CORESET monitoring occasions. All search space(s) within the CORESET utilize the same QCL.</w:t>
      </w:r>
    </w:p>
    <w:p w14:paraId="35D6B68D" w14:textId="77777777" w:rsidR="005B721B" w:rsidRDefault="005B721B" w:rsidP="005B721B">
      <w:pPr>
        <w:numPr>
          <w:ilvl w:val="0"/>
          <w:numId w:val="17"/>
        </w:numPr>
        <w:overflowPunct/>
        <w:autoSpaceDE/>
        <w:autoSpaceDN/>
        <w:adjustRightInd/>
        <w:spacing w:after="0"/>
        <w:jc w:val="left"/>
        <w:textAlignment w:val="auto"/>
        <w:rPr>
          <w:lang w:val="en-US" w:eastAsia="x-none"/>
        </w:rPr>
      </w:pPr>
      <w:r w:rsidRPr="007C4B79">
        <w:rPr>
          <w:highlight w:val="yellow"/>
          <w:lang w:val="en-US" w:eastAsia="x-none"/>
        </w:rPr>
        <w:t>Alt 2</w:t>
      </w:r>
      <w:r w:rsidRPr="00BD2B69">
        <w:rPr>
          <w:lang w:val="en-US" w:eastAsia="x-none"/>
        </w:rPr>
        <w:t>: The QCL configuration/indication is on a per search space basis</w:t>
      </w:r>
    </w:p>
    <w:p w14:paraId="09260489" w14:textId="77777777" w:rsidR="005B721B" w:rsidRPr="00BD2B69" w:rsidRDefault="005B721B" w:rsidP="005B721B">
      <w:pPr>
        <w:numPr>
          <w:ilvl w:val="1"/>
          <w:numId w:val="17"/>
        </w:numPr>
        <w:overflowPunct/>
        <w:autoSpaceDE/>
        <w:autoSpaceDN/>
        <w:adjustRightInd/>
        <w:spacing w:after="0"/>
        <w:jc w:val="left"/>
        <w:textAlignment w:val="auto"/>
        <w:rPr>
          <w:lang w:val="en-US" w:eastAsia="x-none"/>
        </w:rPr>
      </w:pPr>
      <w:r w:rsidRPr="00535A25">
        <w:rPr>
          <w:lang w:val="en-US" w:eastAsia="x-none"/>
        </w:rPr>
        <w:lastRenderedPageBreak/>
        <w:t>The UE applies the QCL assumption on an associated search space. This could mean that in the case where there are multiple search spaces within a CORESET, the UE may be configured with different QCL assumptions for different search spaces.</w:t>
      </w:r>
    </w:p>
    <w:p w14:paraId="1288AFEC" w14:textId="77777777" w:rsidR="005B721B" w:rsidRPr="00BD2B69" w:rsidRDefault="005B721B" w:rsidP="005B721B">
      <w:pPr>
        <w:numPr>
          <w:ilvl w:val="0"/>
          <w:numId w:val="17"/>
        </w:numPr>
        <w:overflowPunct/>
        <w:autoSpaceDE/>
        <w:autoSpaceDN/>
        <w:adjustRightInd/>
        <w:spacing w:after="0"/>
        <w:jc w:val="left"/>
        <w:textAlignment w:val="auto"/>
        <w:rPr>
          <w:lang w:val="en-US" w:eastAsia="x-none"/>
        </w:rPr>
      </w:pPr>
      <w:r w:rsidRPr="00BD2B69">
        <w:rPr>
          <w:lang w:val="en-US" w:eastAsia="x-none"/>
        </w:rPr>
        <w:t>Note: The indication of QCL configuration is done by RRC or RRC + MAC CE (FFS: by DCI)</w:t>
      </w:r>
    </w:p>
    <w:p w14:paraId="20D1B466" w14:textId="47BF69D1" w:rsidR="005B721B" w:rsidRDefault="005B721B" w:rsidP="005B721B">
      <w:r w:rsidRPr="007D7074">
        <w:t>Note: The above options are provided as input to the control channel agenda item discussion</w:t>
      </w:r>
    </w:p>
    <w:p w14:paraId="5BB85FE5" w14:textId="5B2C2162" w:rsidR="00463779" w:rsidRPr="00826551" w:rsidRDefault="00463779" w:rsidP="00463779">
      <w:pPr>
        <w:rPr>
          <w:b/>
          <w:lang w:eastAsia="x-none"/>
        </w:rPr>
      </w:pPr>
      <w:r w:rsidRPr="00463779">
        <w:rPr>
          <w:b/>
          <w:highlight w:val="green"/>
          <w:u w:val="single"/>
          <w:lang w:eastAsia="x-none"/>
        </w:rPr>
        <w:t>Agreement #4</w:t>
      </w:r>
      <w:r>
        <w:rPr>
          <w:b/>
          <w:lang w:eastAsia="x-none"/>
        </w:rPr>
        <w:t xml:space="preserve">: </w:t>
      </w:r>
      <w:r w:rsidRPr="00463779">
        <w:rPr>
          <w:b/>
          <w:lang w:eastAsia="x-none"/>
        </w:rPr>
        <w:t>(L1-RSRP measurement/reporting on SSB)</w:t>
      </w:r>
    </w:p>
    <w:p w14:paraId="4B43C5B5" w14:textId="77777777" w:rsidR="00463779" w:rsidRPr="00826551" w:rsidRDefault="00463779" w:rsidP="00463779">
      <w:pPr>
        <w:pStyle w:val="ListParagraph"/>
        <w:numPr>
          <w:ilvl w:val="0"/>
          <w:numId w:val="20"/>
        </w:numPr>
        <w:spacing w:after="0"/>
        <w:rPr>
          <w:szCs w:val="20"/>
        </w:rPr>
      </w:pPr>
      <w:r w:rsidRPr="00826551">
        <w:rPr>
          <w:szCs w:val="20"/>
        </w:rPr>
        <w:t xml:space="preserve">Support configuration of SSB for a UE to measure and report one or more L1-RSRP(s) </w:t>
      </w:r>
    </w:p>
    <w:p w14:paraId="020491B7" w14:textId="77777777" w:rsidR="00463779" w:rsidRPr="00826551" w:rsidRDefault="00463779" w:rsidP="00463779">
      <w:pPr>
        <w:pStyle w:val="ListParagraph"/>
        <w:numPr>
          <w:ilvl w:val="0"/>
          <w:numId w:val="20"/>
        </w:numPr>
        <w:spacing w:after="0"/>
        <w:ind w:left="1800"/>
        <w:rPr>
          <w:szCs w:val="20"/>
        </w:rPr>
      </w:pPr>
      <w:r w:rsidRPr="007C4B79">
        <w:rPr>
          <w:szCs w:val="20"/>
          <w:highlight w:val="yellow"/>
        </w:rPr>
        <w:t>FFS</w:t>
      </w:r>
      <w:r w:rsidRPr="00826551">
        <w:rPr>
          <w:szCs w:val="20"/>
        </w:rPr>
        <w:t>: whether the set of SSBs is all of the SSB beams or a subset of them</w:t>
      </w:r>
    </w:p>
    <w:p w14:paraId="0456CE9C" w14:textId="77777777" w:rsidR="00463779" w:rsidRPr="00826551" w:rsidRDefault="00463779" w:rsidP="00463779">
      <w:pPr>
        <w:pStyle w:val="ListParagraph"/>
        <w:numPr>
          <w:ilvl w:val="0"/>
          <w:numId w:val="20"/>
        </w:numPr>
        <w:spacing w:after="0"/>
        <w:ind w:left="1800"/>
        <w:rPr>
          <w:szCs w:val="20"/>
        </w:rPr>
      </w:pPr>
      <w:r w:rsidRPr="007C4B79">
        <w:rPr>
          <w:b/>
          <w:szCs w:val="20"/>
          <w:highlight w:val="yellow"/>
        </w:rPr>
        <w:t>Alt1</w:t>
      </w:r>
      <w:r w:rsidRPr="00826551">
        <w:rPr>
          <w:szCs w:val="20"/>
        </w:rPr>
        <w:t>: Support configuration of SSB resources within a resource setting for beam management.</w:t>
      </w:r>
    </w:p>
    <w:p w14:paraId="1140E1D6" w14:textId="77777777" w:rsidR="00463779" w:rsidRPr="00826551" w:rsidRDefault="00463779" w:rsidP="00463779">
      <w:pPr>
        <w:pStyle w:val="ListParagraph"/>
        <w:numPr>
          <w:ilvl w:val="1"/>
          <w:numId w:val="20"/>
        </w:numPr>
        <w:spacing w:after="0"/>
        <w:ind w:left="2520"/>
        <w:rPr>
          <w:szCs w:val="20"/>
        </w:rPr>
      </w:pPr>
      <w:r w:rsidRPr="00826551">
        <w:rPr>
          <w:szCs w:val="20"/>
        </w:rPr>
        <w:t>L1-RSRP measurement on these resources is reported</w:t>
      </w:r>
    </w:p>
    <w:p w14:paraId="01248AD4" w14:textId="77777777" w:rsidR="00463779" w:rsidRPr="00826551" w:rsidRDefault="00463779" w:rsidP="00463779">
      <w:pPr>
        <w:pStyle w:val="ListParagraph"/>
        <w:numPr>
          <w:ilvl w:val="0"/>
          <w:numId w:val="20"/>
        </w:numPr>
        <w:spacing w:after="0"/>
        <w:ind w:left="1800"/>
        <w:rPr>
          <w:szCs w:val="20"/>
        </w:rPr>
      </w:pPr>
      <w:r w:rsidRPr="007C4B79">
        <w:rPr>
          <w:b/>
          <w:szCs w:val="20"/>
          <w:highlight w:val="yellow"/>
        </w:rPr>
        <w:t>Alt2</w:t>
      </w:r>
      <w:r w:rsidRPr="00826551">
        <w:rPr>
          <w:szCs w:val="20"/>
        </w:rPr>
        <w:t>: Support configuration of the RS type (e.g. SSB, CSI-RS) in a reporting setting for beam management.</w:t>
      </w:r>
    </w:p>
    <w:p w14:paraId="71EEA52A" w14:textId="77777777" w:rsidR="00463779" w:rsidRPr="00826551" w:rsidRDefault="00463779" w:rsidP="00463779">
      <w:pPr>
        <w:pStyle w:val="ListParagraph"/>
        <w:numPr>
          <w:ilvl w:val="1"/>
          <w:numId w:val="20"/>
        </w:numPr>
        <w:spacing w:after="0"/>
        <w:ind w:left="2520"/>
        <w:rPr>
          <w:szCs w:val="20"/>
        </w:rPr>
      </w:pPr>
      <w:r w:rsidRPr="00826551">
        <w:rPr>
          <w:szCs w:val="20"/>
        </w:rPr>
        <w:t>L1-RSRP measurement on these resources is reported</w:t>
      </w:r>
    </w:p>
    <w:p w14:paraId="6B434304" w14:textId="77777777" w:rsidR="00463779" w:rsidRPr="00826551" w:rsidRDefault="00463779" w:rsidP="00463779">
      <w:pPr>
        <w:pStyle w:val="ListParagraph"/>
        <w:numPr>
          <w:ilvl w:val="0"/>
          <w:numId w:val="20"/>
        </w:numPr>
        <w:spacing w:after="0"/>
        <w:rPr>
          <w:szCs w:val="20"/>
        </w:rPr>
      </w:pPr>
      <w:r w:rsidRPr="00826551">
        <w:rPr>
          <w:szCs w:val="20"/>
        </w:rPr>
        <w:t>Down-select between the two options</w:t>
      </w:r>
    </w:p>
    <w:p w14:paraId="154B48FA" w14:textId="06FAB0E5" w:rsidR="00463779" w:rsidRDefault="00463779" w:rsidP="005B721B"/>
    <w:p w14:paraId="778783BD" w14:textId="415A8716" w:rsidR="005B69C3" w:rsidRDefault="005B69C3" w:rsidP="005B721B">
      <w:r>
        <w:t>The following agreement was made in RAN1 Ad Hoc #1 (Spokane) regarding PDCCH robustness</w:t>
      </w:r>
    </w:p>
    <w:p w14:paraId="67E26FF7" w14:textId="7E83A6E3" w:rsidR="005B69C3" w:rsidRPr="00030B2C" w:rsidRDefault="005B69C3" w:rsidP="005B69C3">
      <w:pPr>
        <w:rPr>
          <w:rFonts w:eastAsia="MS Mincho"/>
          <w:b/>
          <w:u w:val="single"/>
          <w:lang w:val="en-US" w:eastAsia="ja-JP"/>
        </w:rPr>
      </w:pPr>
      <w:r>
        <w:rPr>
          <w:rFonts w:eastAsia="MS Mincho" w:hint="eastAsia"/>
          <w:b/>
          <w:highlight w:val="green"/>
          <w:u w:val="single"/>
          <w:lang w:val="en-US" w:eastAsia="ja-JP"/>
        </w:rPr>
        <w:t>Agreement #5</w:t>
      </w:r>
      <w:r w:rsidRPr="005B69C3">
        <w:rPr>
          <w:rFonts w:eastAsia="MS Mincho" w:hint="eastAsia"/>
          <w:b/>
          <w:lang w:val="en-US" w:eastAsia="ja-JP"/>
        </w:rPr>
        <w:t>:</w:t>
      </w:r>
    </w:p>
    <w:p w14:paraId="74EE4BC4" w14:textId="77777777" w:rsidR="005B69C3" w:rsidRPr="006B13A0" w:rsidRDefault="005B69C3" w:rsidP="005B69C3">
      <w:pPr>
        <w:numPr>
          <w:ilvl w:val="0"/>
          <w:numId w:val="22"/>
        </w:numPr>
        <w:overflowPunct/>
        <w:autoSpaceDE/>
        <w:autoSpaceDN/>
        <w:adjustRightInd/>
        <w:spacing w:after="0"/>
        <w:jc w:val="left"/>
        <w:textAlignment w:val="auto"/>
        <w:rPr>
          <w:rFonts w:eastAsia="MS Mincho"/>
          <w:lang w:val="en-US" w:eastAsia="ja-JP"/>
        </w:rPr>
      </w:pPr>
      <w:r w:rsidRPr="006B13A0">
        <w:rPr>
          <w:rFonts w:eastAsia="MS Mincho"/>
          <w:lang w:val="en-US" w:eastAsia="ja-JP"/>
        </w:rPr>
        <w:t>NR-PDCCH transmission supports robustness against beam pair link blocking</w:t>
      </w:r>
    </w:p>
    <w:p w14:paraId="74DD93C3" w14:textId="77777777" w:rsidR="005B69C3" w:rsidRPr="006B13A0" w:rsidRDefault="005B69C3" w:rsidP="005B69C3">
      <w:pPr>
        <w:numPr>
          <w:ilvl w:val="1"/>
          <w:numId w:val="22"/>
        </w:numPr>
        <w:overflowPunct/>
        <w:autoSpaceDE/>
        <w:autoSpaceDN/>
        <w:adjustRightInd/>
        <w:spacing w:after="0"/>
        <w:jc w:val="left"/>
        <w:textAlignment w:val="auto"/>
        <w:rPr>
          <w:rFonts w:eastAsia="MS Mincho"/>
          <w:lang w:val="en-US" w:eastAsia="ja-JP"/>
        </w:rPr>
      </w:pPr>
      <w:r w:rsidRPr="006B13A0">
        <w:rPr>
          <w:rFonts w:eastAsia="MS Mincho"/>
          <w:lang w:val="en-US" w:eastAsia="ja-JP"/>
        </w:rPr>
        <w:t>UE can be configured to monitor NR-PDCCH on M beam pair links simultaneously, where</w:t>
      </w:r>
    </w:p>
    <w:p w14:paraId="737A9FE4" w14:textId="77777777" w:rsidR="005B69C3" w:rsidRPr="006B13A0" w:rsidRDefault="005B69C3" w:rsidP="005B69C3">
      <w:pPr>
        <w:numPr>
          <w:ilvl w:val="2"/>
          <w:numId w:val="22"/>
        </w:numPr>
        <w:overflowPunct/>
        <w:autoSpaceDE/>
        <w:autoSpaceDN/>
        <w:adjustRightInd/>
        <w:spacing w:after="0"/>
        <w:jc w:val="left"/>
        <w:textAlignment w:val="auto"/>
        <w:rPr>
          <w:rFonts w:eastAsia="MS Mincho"/>
          <w:lang w:val="en-US" w:eastAsia="ja-JP"/>
        </w:rPr>
      </w:pPr>
      <w:r w:rsidRPr="006B13A0">
        <w:rPr>
          <w:rFonts w:eastAsia="MS Mincho"/>
          <w:lang w:val="en-US" w:eastAsia="ja-JP"/>
        </w:rPr>
        <w:t>M≥1. Maximum value of M may depend at least on UE capability.</w:t>
      </w:r>
    </w:p>
    <w:p w14:paraId="4254D800" w14:textId="77777777" w:rsidR="005B69C3" w:rsidRPr="0082116D" w:rsidRDefault="005B69C3" w:rsidP="005B69C3">
      <w:pPr>
        <w:numPr>
          <w:ilvl w:val="2"/>
          <w:numId w:val="22"/>
        </w:numPr>
        <w:overflowPunct/>
        <w:autoSpaceDE/>
        <w:autoSpaceDN/>
        <w:adjustRightInd/>
        <w:spacing w:after="0"/>
        <w:jc w:val="left"/>
        <w:textAlignment w:val="auto"/>
        <w:rPr>
          <w:rFonts w:eastAsia="MS Mincho"/>
          <w:lang w:val="en-US" w:eastAsia="ja-JP"/>
        </w:rPr>
      </w:pPr>
      <w:r w:rsidRPr="006B13A0">
        <w:rPr>
          <w:rFonts w:eastAsia="MS Mincho"/>
          <w:lang w:val="en-US" w:eastAsia="ja-JP"/>
        </w:rPr>
        <w:t xml:space="preserve">FFS: UE may choose at least one beam </w:t>
      </w:r>
      <w:r>
        <w:rPr>
          <w:rFonts w:eastAsia="MS Mincho"/>
          <w:lang w:val="en-US" w:eastAsia="ja-JP"/>
        </w:rPr>
        <w:t>out of M for NR-PDCCH reception</w:t>
      </w:r>
    </w:p>
    <w:p w14:paraId="4BEF60AD" w14:textId="77777777" w:rsidR="005B69C3" w:rsidRPr="009E5989" w:rsidRDefault="005B69C3" w:rsidP="005B69C3">
      <w:pPr>
        <w:numPr>
          <w:ilvl w:val="1"/>
          <w:numId w:val="22"/>
        </w:numPr>
        <w:overflowPunct/>
        <w:autoSpaceDE/>
        <w:autoSpaceDN/>
        <w:adjustRightInd/>
        <w:spacing w:after="0"/>
        <w:jc w:val="left"/>
        <w:textAlignment w:val="auto"/>
        <w:rPr>
          <w:rFonts w:eastAsia="MS Mincho"/>
          <w:highlight w:val="yellow"/>
          <w:lang w:val="en-US" w:eastAsia="ja-JP"/>
        </w:rPr>
      </w:pPr>
      <w:r w:rsidRPr="009E5989">
        <w:rPr>
          <w:rFonts w:eastAsia="MS Mincho"/>
          <w:highlight w:val="yellow"/>
          <w:lang w:val="en-US" w:eastAsia="ja-JP"/>
        </w:rPr>
        <w:t>UE can be configured to monitor NR-PDCCH on different beam pair link(s) in different NR-PDCCH OFDM symbols</w:t>
      </w:r>
    </w:p>
    <w:p w14:paraId="395C9D2C" w14:textId="77777777" w:rsidR="005B69C3" w:rsidRPr="006B13A0" w:rsidRDefault="005B69C3" w:rsidP="005B69C3">
      <w:pPr>
        <w:numPr>
          <w:ilvl w:val="2"/>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FFS: </w:t>
      </w:r>
      <w:r w:rsidRPr="006B13A0">
        <w:rPr>
          <w:rFonts w:eastAsia="MS Mincho"/>
          <w:lang w:val="en-US" w:eastAsia="ja-JP"/>
        </w:rPr>
        <w:t xml:space="preserve">NR-PDCCH on one beam pair link is monitored with shorter duty cycle than other beam pair link(s). </w:t>
      </w:r>
    </w:p>
    <w:p w14:paraId="31067009" w14:textId="77777777" w:rsidR="005B69C3" w:rsidRDefault="005B69C3" w:rsidP="005B69C3">
      <w:pPr>
        <w:numPr>
          <w:ilvl w:val="2"/>
          <w:numId w:val="22"/>
        </w:numPr>
        <w:overflowPunct/>
        <w:autoSpaceDE/>
        <w:autoSpaceDN/>
        <w:adjustRightInd/>
        <w:spacing w:after="0"/>
        <w:jc w:val="left"/>
        <w:textAlignment w:val="auto"/>
        <w:rPr>
          <w:rFonts w:eastAsia="MS Mincho"/>
          <w:lang w:val="en-US" w:eastAsia="ja-JP"/>
        </w:rPr>
      </w:pPr>
      <w:r w:rsidRPr="006B13A0">
        <w:rPr>
          <w:rFonts w:eastAsia="MS Mincho"/>
          <w:lang w:val="en-US" w:eastAsia="ja-JP"/>
        </w:rPr>
        <w:t>FFS: time granularity of configuration, e.g. slot level configuration, symbol level configuration</w:t>
      </w:r>
    </w:p>
    <w:p w14:paraId="5F04D4F2" w14:textId="77777777" w:rsidR="005B69C3" w:rsidRPr="006B13A0" w:rsidRDefault="005B69C3" w:rsidP="005B69C3">
      <w:pPr>
        <w:numPr>
          <w:ilvl w:val="2"/>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FFS: Note that this configuration applies to scenario where UE may not have multiple RF chains</w:t>
      </w:r>
    </w:p>
    <w:p w14:paraId="576A3349" w14:textId="77777777" w:rsidR="005B69C3" w:rsidRPr="006B13A0" w:rsidRDefault="005B69C3" w:rsidP="005B69C3">
      <w:pPr>
        <w:numPr>
          <w:ilvl w:val="1"/>
          <w:numId w:val="22"/>
        </w:numPr>
        <w:overflowPunct/>
        <w:autoSpaceDE/>
        <w:autoSpaceDN/>
        <w:adjustRightInd/>
        <w:spacing w:after="0"/>
        <w:jc w:val="left"/>
        <w:textAlignment w:val="auto"/>
        <w:rPr>
          <w:rFonts w:eastAsia="MS Mincho"/>
          <w:lang w:val="en-US" w:eastAsia="ja-JP"/>
        </w:rPr>
      </w:pPr>
      <w:r w:rsidRPr="006B13A0">
        <w:rPr>
          <w:rFonts w:eastAsia="MS Mincho"/>
          <w:lang w:val="en-US" w:eastAsia="ja-JP"/>
        </w:rPr>
        <w:t>FFS: The definition of monitoring NR-PDCCH on beam pair link(s).</w:t>
      </w:r>
    </w:p>
    <w:p w14:paraId="203E5C86" w14:textId="77777777" w:rsidR="005B69C3" w:rsidRPr="006B13A0" w:rsidRDefault="005B69C3" w:rsidP="005B69C3">
      <w:pPr>
        <w:numPr>
          <w:ilvl w:val="1"/>
          <w:numId w:val="22"/>
        </w:numPr>
        <w:overflowPunct/>
        <w:autoSpaceDE/>
        <w:autoSpaceDN/>
        <w:adjustRightInd/>
        <w:spacing w:after="0"/>
        <w:jc w:val="left"/>
        <w:textAlignment w:val="auto"/>
        <w:rPr>
          <w:rFonts w:eastAsia="MS Mincho"/>
          <w:lang w:val="en-US" w:eastAsia="ja-JP"/>
        </w:rPr>
      </w:pPr>
      <w:r w:rsidRPr="006B13A0">
        <w:rPr>
          <w:rFonts w:eastAsia="MS Mincho"/>
          <w:lang w:val="en-US" w:eastAsia="ja-JP"/>
        </w:rPr>
        <w:t>Parameters related to UE Rx beam setting for monitoring NR-PDCCH on multiple beam pair links are configured by higher layer signaling or MAC CE and/or consid</w:t>
      </w:r>
      <w:r>
        <w:rPr>
          <w:rFonts w:eastAsia="MS Mincho"/>
          <w:lang w:val="en-US" w:eastAsia="ja-JP"/>
        </w:rPr>
        <w:t>ered in the search space design</w:t>
      </w:r>
    </w:p>
    <w:p w14:paraId="137054D4" w14:textId="77777777" w:rsidR="005B69C3" w:rsidRDefault="005B69C3" w:rsidP="005B69C3">
      <w:pPr>
        <w:numPr>
          <w:ilvl w:val="2"/>
          <w:numId w:val="22"/>
        </w:numPr>
        <w:overflowPunct/>
        <w:autoSpaceDE/>
        <w:autoSpaceDN/>
        <w:adjustRightInd/>
        <w:spacing w:after="0"/>
        <w:jc w:val="left"/>
        <w:textAlignment w:val="auto"/>
        <w:rPr>
          <w:rFonts w:eastAsia="MS Mincho"/>
          <w:lang w:val="en-US" w:eastAsia="ja-JP"/>
        </w:rPr>
      </w:pPr>
      <w:r w:rsidRPr="006B13A0">
        <w:rPr>
          <w:rFonts w:eastAsia="MS Mincho"/>
          <w:lang w:val="en-US" w:eastAsia="ja-JP"/>
        </w:rPr>
        <w:t>FFS: Required parameters</w:t>
      </w:r>
    </w:p>
    <w:p w14:paraId="5772FBD1" w14:textId="77777777" w:rsidR="005B69C3" w:rsidRPr="006B13A0" w:rsidRDefault="005B69C3" w:rsidP="005B69C3">
      <w:pPr>
        <w:numPr>
          <w:ilvl w:val="2"/>
          <w:numId w:val="22"/>
        </w:numPr>
        <w:overflowPunct/>
        <w:autoSpaceDE/>
        <w:autoSpaceDN/>
        <w:adjustRightInd/>
        <w:spacing w:after="0"/>
        <w:jc w:val="left"/>
        <w:textAlignment w:val="auto"/>
        <w:rPr>
          <w:rFonts w:eastAsia="MS Mincho"/>
          <w:lang w:val="en-US" w:eastAsia="ja-JP"/>
        </w:rPr>
      </w:pPr>
      <w:r>
        <w:rPr>
          <w:rFonts w:eastAsia="MS Mincho" w:hint="eastAsia"/>
          <w:lang w:val="en-US" w:eastAsia="ja-JP"/>
        </w:rPr>
        <w:t>FFS: Need to support both higher layer signaling and MAC CE</w:t>
      </w:r>
    </w:p>
    <w:p w14:paraId="2289B3D6" w14:textId="0C606DA4" w:rsidR="005B721B" w:rsidRDefault="005B721B" w:rsidP="005B721B"/>
    <w:p w14:paraId="6A5AF6C1" w14:textId="49ABD176" w:rsidR="003870D7" w:rsidRDefault="003870D7" w:rsidP="005B721B">
      <w:r>
        <w:t>The following agreement was made in RAN1 #86b (Lisbon) regarding beam management without beam indication</w:t>
      </w:r>
    </w:p>
    <w:p w14:paraId="537D714F" w14:textId="3B8C504A" w:rsidR="003870D7" w:rsidRPr="00037FA1" w:rsidRDefault="003870D7" w:rsidP="003870D7">
      <w:pPr>
        <w:snapToGrid w:val="0"/>
        <w:rPr>
          <w:rFonts w:eastAsia="MS Mincho"/>
          <w:lang w:eastAsia="ja-JP"/>
        </w:rPr>
      </w:pPr>
      <w:r w:rsidRPr="003870D7">
        <w:rPr>
          <w:rFonts w:eastAsia="MS Mincho"/>
          <w:b/>
          <w:highlight w:val="green"/>
          <w:u w:val="single"/>
          <w:lang w:eastAsia="ja-JP"/>
        </w:rPr>
        <w:t>Agreements #6</w:t>
      </w:r>
      <w:r w:rsidRPr="00037FA1">
        <w:rPr>
          <w:rFonts w:eastAsia="MS Mincho"/>
          <w:highlight w:val="green"/>
          <w:lang w:eastAsia="ja-JP"/>
        </w:rPr>
        <w:t>:</w:t>
      </w:r>
    </w:p>
    <w:p w14:paraId="0E70B4B4" w14:textId="77777777" w:rsidR="003870D7" w:rsidRPr="009E5989" w:rsidRDefault="003870D7" w:rsidP="003870D7">
      <w:pPr>
        <w:numPr>
          <w:ilvl w:val="0"/>
          <w:numId w:val="30"/>
        </w:numPr>
        <w:overflowPunct/>
        <w:autoSpaceDE/>
        <w:autoSpaceDN/>
        <w:adjustRightInd/>
        <w:snapToGrid w:val="0"/>
        <w:spacing w:after="0"/>
        <w:textAlignment w:val="auto"/>
        <w:rPr>
          <w:rFonts w:eastAsia="MS Mincho"/>
          <w:highlight w:val="yellow"/>
          <w:lang w:val="en-US" w:eastAsia="ja-JP"/>
        </w:rPr>
      </w:pPr>
      <w:r w:rsidRPr="009E5989">
        <w:rPr>
          <w:rFonts w:eastAsia="MS Mincho"/>
          <w:highlight w:val="yellow"/>
          <w:lang w:val="en-US" w:eastAsia="ja-JP"/>
        </w:rPr>
        <w:t>For downlink, NR supports beam management with and without beam-related indication</w:t>
      </w:r>
    </w:p>
    <w:p w14:paraId="14D10F12" w14:textId="77777777" w:rsidR="003870D7" w:rsidRPr="00037FA1" w:rsidRDefault="003870D7" w:rsidP="003870D7">
      <w:pPr>
        <w:numPr>
          <w:ilvl w:val="1"/>
          <w:numId w:val="30"/>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333BE96D" w14:textId="77777777" w:rsidR="003870D7" w:rsidRPr="00037FA1" w:rsidRDefault="003870D7" w:rsidP="003870D7">
      <w:pPr>
        <w:numPr>
          <w:ilvl w:val="2"/>
          <w:numId w:val="30"/>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FFS: Information other than QCL</w:t>
      </w:r>
    </w:p>
    <w:p w14:paraId="1C76C3CE" w14:textId="77777777" w:rsidR="003870D7" w:rsidRPr="00037FA1" w:rsidRDefault="003870D7" w:rsidP="003870D7">
      <w:pPr>
        <w:numPr>
          <w:ilvl w:val="1"/>
          <w:numId w:val="30"/>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FFS: When beam-related indication is provided, information pertaining to the </w:t>
      </w:r>
      <w:proofErr w:type="spellStart"/>
      <w:r w:rsidRPr="00037FA1">
        <w:rPr>
          <w:rFonts w:eastAsia="MS Mincho"/>
          <w:lang w:val="en-US" w:eastAsia="ja-JP"/>
        </w:rPr>
        <w:t>Tx</w:t>
      </w:r>
      <w:proofErr w:type="spellEnd"/>
      <w:r w:rsidRPr="00037FA1">
        <w:rPr>
          <w:rFonts w:eastAsia="MS Mincho"/>
          <w:lang w:val="en-US" w:eastAsia="ja-JP"/>
        </w:rPr>
        <w:t xml:space="preserve"> beam used for data transmission is indicated to UE </w:t>
      </w:r>
    </w:p>
    <w:p w14:paraId="13427B13" w14:textId="77777777" w:rsidR="003870D7" w:rsidRPr="00037FA1" w:rsidRDefault="003870D7" w:rsidP="003870D7">
      <w:pPr>
        <w:numPr>
          <w:ilvl w:val="0"/>
          <w:numId w:val="30"/>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For downlink, based on RS (used for beam management) transmitted by TRP, UE reports information associated with N selected </w:t>
      </w:r>
      <w:proofErr w:type="spellStart"/>
      <w:r w:rsidRPr="00037FA1">
        <w:rPr>
          <w:rFonts w:eastAsia="MS Mincho"/>
          <w:lang w:val="en-US" w:eastAsia="ja-JP"/>
        </w:rPr>
        <w:t>Tx</w:t>
      </w:r>
      <w:proofErr w:type="spellEnd"/>
      <w:r w:rsidRPr="00037FA1">
        <w:rPr>
          <w:rFonts w:eastAsia="MS Mincho"/>
          <w:lang w:val="en-US" w:eastAsia="ja-JP"/>
        </w:rPr>
        <w:t xml:space="preserve"> beams</w:t>
      </w:r>
    </w:p>
    <w:p w14:paraId="78783515" w14:textId="77777777" w:rsidR="003870D7" w:rsidRPr="00037FA1" w:rsidRDefault="003870D7" w:rsidP="003870D7">
      <w:pPr>
        <w:numPr>
          <w:ilvl w:val="1"/>
          <w:numId w:val="30"/>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Study how the N </w:t>
      </w:r>
      <w:proofErr w:type="spellStart"/>
      <w:r w:rsidRPr="00037FA1">
        <w:rPr>
          <w:rFonts w:eastAsia="MS Mincho"/>
          <w:lang w:val="en-US" w:eastAsia="ja-JP"/>
        </w:rPr>
        <w:t>Tx</w:t>
      </w:r>
      <w:proofErr w:type="spellEnd"/>
      <w:r w:rsidRPr="00037FA1">
        <w:rPr>
          <w:rFonts w:eastAsia="MS Mincho"/>
          <w:lang w:val="en-US" w:eastAsia="ja-JP"/>
        </w:rPr>
        <w:t xml:space="preserve"> beams can be selected </w:t>
      </w:r>
    </w:p>
    <w:p w14:paraId="369954C6" w14:textId="77777777" w:rsidR="003870D7" w:rsidRPr="00037FA1" w:rsidRDefault="003870D7" w:rsidP="003870D7">
      <w:pPr>
        <w:numPr>
          <w:ilvl w:val="1"/>
          <w:numId w:val="30"/>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Study the case where N comprises of all </w:t>
      </w:r>
      <w:proofErr w:type="spellStart"/>
      <w:r w:rsidRPr="00037FA1">
        <w:rPr>
          <w:rFonts w:eastAsia="MS Mincho"/>
          <w:lang w:val="en-US" w:eastAsia="ja-JP"/>
        </w:rPr>
        <w:t>Tx</w:t>
      </w:r>
      <w:proofErr w:type="spellEnd"/>
      <w:r w:rsidRPr="00037FA1">
        <w:rPr>
          <w:rFonts w:eastAsia="MS Mincho"/>
          <w:lang w:val="en-US" w:eastAsia="ja-JP"/>
        </w:rPr>
        <w:t xml:space="preserve"> beams</w:t>
      </w:r>
    </w:p>
    <w:p w14:paraId="33560A5F" w14:textId="77777777" w:rsidR="003870D7" w:rsidRPr="00037FA1" w:rsidRDefault="003870D7" w:rsidP="003870D7">
      <w:pPr>
        <w:numPr>
          <w:ilvl w:val="1"/>
          <w:numId w:val="30"/>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UE reporting information</w:t>
      </w:r>
    </w:p>
    <w:p w14:paraId="06D89B35" w14:textId="77777777" w:rsidR="003870D7" w:rsidRPr="00037FA1" w:rsidRDefault="003870D7" w:rsidP="003870D7">
      <w:pPr>
        <w:numPr>
          <w:ilvl w:val="1"/>
          <w:numId w:val="30"/>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Note: N can be equal to 1</w:t>
      </w:r>
    </w:p>
    <w:p w14:paraId="7AEC13BA" w14:textId="77777777" w:rsidR="003870D7" w:rsidRPr="005B721B" w:rsidRDefault="003870D7" w:rsidP="005B721B"/>
    <w:sectPr w:rsidR="003870D7" w:rsidRPr="005B721B"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2FE1F" w14:textId="77777777" w:rsidR="007F6935" w:rsidRDefault="007F6935">
      <w:r>
        <w:separator/>
      </w:r>
    </w:p>
  </w:endnote>
  <w:endnote w:type="continuationSeparator" w:id="0">
    <w:p w14:paraId="3533313E" w14:textId="77777777" w:rsidR="007F6935" w:rsidRDefault="007F6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64B46" w14:textId="77777777" w:rsidR="0071357E" w:rsidRDefault="0071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849FCA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357E">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357E">
      <w:rPr>
        <w:rStyle w:val="PageNumber"/>
      </w:rPr>
      <w:t>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0E500" w14:textId="77777777" w:rsidR="0071357E" w:rsidRDefault="0071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DD59E" w14:textId="77777777" w:rsidR="007F6935" w:rsidRDefault="007F6935">
      <w:r>
        <w:separator/>
      </w:r>
    </w:p>
  </w:footnote>
  <w:footnote w:type="continuationSeparator" w:id="0">
    <w:p w14:paraId="55FC887E" w14:textId="77777777" w:rsidR="007F6935" w:rsidRDefault="007F6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E43E7" w14:textId="77777777" w:rsidR="0071357E" w:rsidRDefault="0071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1DCB4" w14:textId="77777777" w:rsidR="0071357E" w:rsidRDefault="007135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12790C"/>
    <w:multiLevelType w:val="hybridMultilevel"/>
    <w:tmpl w:val="DF344942"/>
    <w:lvl w:ilvl="0" w:tplc="E3663C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7E0190"/>
    <w:multiLevelType w:val="hybridMultilevel"/>
    <w:tmpl w:val="5E14995A"/>
    <w:lvl w:ilvl="0" w:tplc="7C32F498">
      <w:start w:val="1"/>
      <w:numFmt w:val="bullet"/>
      <w:lvlText w:val="›"/>
      <w:lvlJc w:val="left"/>
      <w:pPr>
        <w:tabs>
          <w:tab w:val="num" w:pos="720"/>
        </w:tabs>
        <w:ind w:left="720" w:hanging="360"/>
      </w:pPr>
      <w:rPr>
        <w:rFonts w:ascii="Arial" w:hAnsi="Arial" w:hint="default"/>
      </w:rPr>
    </w:lvl>
    <w:lvl w:ilvl="1" w:tplc="0A9C447C">
      <w:numFmt w:val="bullet"/>
      <w:lvlText w:val="–"/>
      <w:lvlJc w:val="left"/>
      <w:pPr>
        <w:tabs>
          <w:tab w:val="num" w:pos="1440"/>
        </w:tabs>
        <w:ind w:left="1440" w:hanging="360"/>
      </w:pPr>
      <w:rPr>
        <w:rFonts w:ascii="Ericsson Capital TT" w:hAnsi="Ericsson Capital TT" w:hint="default"/>
      </w:rPr>
    </w:lvl>
    <w:lvl w:ilvl="2" w:tplc="C12E8CFE">
      <w:numFmt w:val="bullet"/>
      <w:lvlText w:val="›"/>
      <w:lvlJc w:val="left"/>
      <w:pPr>
        <w:tabs>
          <w:tab w:val="num" w:pos="2160"/>
        </w:tabs>
        <w:ind w:left="2160" w:hanging="360"/>
      </w:pPr>
      <w:rPr>
        <w:rFonts w:ascii="Ericsson Capital TT" w:hAnsi="Ericsson Capital TT" w:hint="default"/>
      </w:rPr>
    </w:lvl>
    <w:lvl w:ilvl="3" w:tplc="9250B56E" w:tentative="1">
      <w:start w:val="1"/>
      <w:numFmt w:val="bullet"/>
      <w:lvlText w:val="›"/>
      <w:lvlJc w:val="left"/>
      <w:pPr>
        <w:tabs>
          <w:tab w:val="num" w:pos="2880"/>
        </w:tabs>
        <w:ind w:left="2880" w:hanging="360"/>
      </w:pPr>
      <w:rPr>
        <w:rFonts w:ascii="Arial" w:hAnsi="Arial" w:hint="default"/>
      </w:rPr>
    </w:lvl>
    <w:lvl w:ilvl="4" w:tplc="E3F03258" w:tentative="1">
      <w:start w:val="1"/>
      <w:numFmt w:val="bullet"/>
      <w:lvlText w:val="›"/>
      <w:lvlJc w:val="left"/>
      <w:pPr>
        <w:tabs>
          <w:tab w:val="num" w:pos="3600"/>
        </w:tabs>
        <w:ind w:left="3600" w:hanging="360"/>
      </w:pPr>
      <w:rPr>
        <w:rFonts w:ascii="Arial" w:hAnsi="Arial" w:hint="default"/>
      </w:rPr>
    </w:lvl>
    <w:lvl w:ilvl="5" w:tplc="BF02485C" w:tentative="1">
      <w:start w:val="1"/>
      <w:numFmt w:val="bullet"/>
      <w:lvlText w:val="›"/>
      <w:lvlJc w:val="left"/>
      <w:pPr>
        <w:tabs>
          <w:tab w:val="num" w:pos="4320"/>
        </w:tabs>
        <w:ind w:left="4320" w:hanging="360"/>
      </w:pPr>
      <w:rPr>
        <w:rFonts w:ascii="Arial" w:hAnsi="Arial" w:hint="default"/>
      </w:rPr>
    </w:lvl>
    <w:lvl w:ilvl="6" w:tplc="56D0E652" w:tentative="1">
      <w:start w:val="1"/>
      <w:numFmt w:val="bullet"/>
      <w:lvlText w:val="›"/>
      <w:lvlJc w:val="left"/>
      <w:pPr>
        <w:tabs>
          <w:tab w:val="num" w:pos="5040"/>
        </w:tabs>
        <w:ind w:left="5040" w:hanging="360"/>
      </w:pPr>
      <w:rPr>
        <w:rFonts w:ascii="Arial" w:hAnsi="Arial" w:hint="default"/>
      </w:rPr>
    </w:lvl>
    <w:lvl w:ilvl="7" w:tplc="7370034E" w:tentative="1">
      <w:start w:val="1"/>
      <w:numFmt w:val="bullet"/>
      <w:lvlText w:val="›"/>
      <w:lvlJc w:val="left"/>
      <w:pPr>
        <w:tabs>
          <w:tab w:val="num" w:pos="5760"/>
        </w:tabs>
        <w:ind w:left="5760" w:hanging="360"/>
      </w:pPr>
      <w:rPr>
        <w:rFonts w:ascii="Arial" w:hAnsi="Arial" w:hint="default"/>
      </w:rPr>
    </w:lvl>
    <w:lvl w:ilvl="8" w:tplc="1004D5D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D6EB0"/>
    <w:multiLevelType w:val="hybridMultilevel"/>
    <w:tmpl w:val="3E407432"/>
    <w:lvl w:ilvl="0" w:tplc="399C65C2">
      <w:start w:val="1"/>
      <w:numFmt w:val="bullet"/>
      <w:lvlText w:val="–"/>
      <w:lvlJc w:val="left"/>
      <w:pPr>
        <w:tabs>
          <w:tab w:val="num" w:pos="720"/>
        </w:tabs>
        <w:ind w:left="720" w:hanging="360"/>
      </w:pPr>
      <w:rPr>
        <w:rFonts w:ascii="Ericsson Capital TT" w:hAnsi="Ericsson Capital TT" w:hint="default"/>
      </w:rPr>
    </w:lvl>
    <w:lvl w:ilvl="1" w:tplc="333E26B6">
      <w:start w:val="1"/>
      <w:numFmt w:val="bullet"/>
      <w:lvlText w:val="–"/>
      <w:lvlJc w:val="left"/>
      <w:pPr>
        <w:tabs>
          <w:tab w:val="num" w:pos="1440"/>
        </w:tabs>
        <w:ind w:left="1440" w:hanging="360"/>
      </w:pPr>
      <w:rPr>
        <w:rFonts w:ascii="Ericsson Capital TT" w:hAnsi="Ericsson Capital TT" w:hint="default"/>
      </w:rPr>
    </w:lvl>
    <w:lvl w:ilvl="2" w:tplc="813A1BA0">
      <w:numFmt w:val="bullet"/>
      <w:lvlText w:val="›"/>
      <w:lvlJc w:val="left"/>
      <w:pPr>
        <w:tabs>
          <w:tab w:val="num" w:pos="2160"/>
        </w:tabs>
        <w:ind w:left="2160" w:hanging="360"/>
      </w:pPr>
      <w:rPr>
        <w:rFonts w:ascii="Ericsson Capital TT" w:hAnsi="Ericsson Capital TT" w:hint="default"/>
      </w:rPr>
    </w:lvl>
    <w:lvl w:ilvl="3" w:tplc="4ED019EE">
      <w:numFmt w:val="bullet"/>
      <w:lvlText w:val="-"/>
      <w:lvlJc w:val="left"/>
      <w:pPr>
        <w:tabs>
          <w:tab w:val="num" w:pos="2880"/>
        </w:tabs>
        <w:ind w:left="2880" w:hanging="360"/>
      </w:pPr>
      <w:rPr>
        <w:rFonts w:ascii="Ericsson Capital TT" w:hAnsi="Ericsson Capital TT" w:hint="default"/>
      </w:rPr>
    </w:lvl>
    <w:lvl w:ilvl="4" w:tplc="20C0EE1A" w:tentative="1">
      <w:start w:val="1"/>
      <w:numFmt w:val="bullet"/>
      <w:lvlText w:val="–"/>
      <w:lvlJc w:val="left"/>
      <w:pPr>
        <w:tabs>
          <w:tab w:val="num" w:pos="3600"/>
        </w:tabs>
        <w:ind w:left="3600" w:hanging="360"/>
      </w:pPr>
      <w:rPr>
        <w:rFonts w:ascii="Ericsson Capital TT" w:hAnsi="Ericsson Capital TT" w:hint="default"/>
      </w:rPr>
    </w:lvl>
    <w:lvl w:ilvl="5" w:tplc="E4D09290" w:tentative="1">
      <w:start w:val="1"/>
      <w:numFmt w:val="bullet"/>
      <w:lvlText w:val="–"/>
      <w:lvlJc w:val="left"/>
      <w:pPr>
        <w:tabs>
          <w:tab w:val="num" w:pos="4320"/>
        </w:tabs>
        <w:ind w:left="4320" w:hanging="360"/>
      </w:pPr>
      <w:rPr>
        <w:rFonts w:ascii="Ericsson Capital TT" w:hAnsi="Ericsson Capital TT" w:hint="default"/>
      </w:rPr>
    </w:lvl>
    <w:lvl w:ilvl="6" w:tplc="338877BC" w:tentative="1">
      <w:start w:val="1"/>
      <w:numFmt w:val="bullet"/>
      <w:lvlText w:val="–"/>
      <w:lvlJc w:val="left"/>
      <w:pPr>
        <w:tabs>
          <w:tab w:val="num" w:pos="5040"/>
        </w:tabs>
        <w:ind w:left="5040" w:hanging="360"/>
      </w:pPr>
      <w:rPr>
        <w:rFonts w:ascii="Ericsson Capital TT" w:hAnsi="Ericsson Capital TT" w:hint="default"/>
      </w:rPr>
    </w:lvl>
    <w:lvl w:ilvl="7" w:tplc="CC64C842" w:tentative="1">
      <w:start w:val="1"/>
      <w:numFmt w:val="bullet"/>
      <w:lvlText w:val="–"/>
      <w:lvlJc w:val="left"/>
      <w:pPr>
        <w:tabs>
          <w:tab w:val="num" w:pos="5760"/>
        </w:tabs>
        <w:ind w:left="5760" w:hanging="360"/>
      </w:pPr>
      <w:rPr>
        <w:rFonts w:ascii="Ericsson Capital TT" w:hAnsi="Ericsson Capital TT" w:hint="default"/>
      </w:rPr>
    </w:lvl>
    <w:lvl w:ilvl="8" w:tplc="4920C27A"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FE580C8A"/>
    <w:lvl w:ilvl="0" w:tplc="5F803016">
      <w:start w:val="1"/>
      <w:numFmt w:val="decimal"/>
      <w:pStyle w:val="KeyProposal"/>
      <w:lvlText w:val="Key Proposal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5341E0F"/>
    <w:multiLevelType w:val="hybridMultilevel"/>
    <w:tmpl w:val="BFE403AE"/>
    <w:lvl w:ilvl="0" w:tplc="76AC0008">
      <w:start w:val="1"/>
      <w:numFmt w:val="bullet"/>
      <w:lvlText w:val="–"/>
      <w:lvlJc w:val="left"/>
      <w:pPr>
        <w:tabs>
          <w:tab w:val="num" w:pos="720"/>
        </w:tabs>
        <w:ind w:left="720" w:hanging="360"/>
      </w:pPr>
      <w:rPr>
        <w:rFonts w:ascii="Ericsson Capital TT" w:hAnsi="Ericsson Capital TT" w:hint="default"/>
      </w:rPr>
    </w:lvl>
    <w:lvl w:ilvl="1" w:tplc="70700268">
      <w:start w:val="1"/>
      <w:numFmt w:val="bullet"/>
      <w:lvlText w:val="–"/>
      <w:lvlJc w:val="left"/>
      <w:pPr>
        <w:tabs>
          <w:tab w:val="num" w:pos="1440"/>
        </w:tabs>
        <w:ind w:left="1440" w:hanging="360"/>
      </w:pPr>
      <w:rPr>
        <w:rFonts w:ascii="Ericsson Capital TT" w:hAnsi="Ericsson Capital TT" w:hint="default"/>
      </w:rPr>
    </w:lvl>
    <w:lvl w:ilvl="2" w:tplc="C40A3B80" w:tentative="1">
      <w:start w:val="1"/>
      <w:numFmt w:val="bullet"/>
      <w:lvlText w:val="–"/>
      <w:lvlJc w:val="left"/>
      <w:pPr>
        <w:tabs>
          <w:tab w:val="num" w:pos="2160"/>
        </w:tabs>
        <w:ind w:left="2160" w:hanging="360"/>
      </w:pPr>
      <w:rPr>
        <w:rFonts w:ascii="Ericsson Capital TT" w:hAnsi="Ericsson Capital TT" w:hint="default"/>
      </w:rPr>
    </w:lvl>
    <w:lvl w:ilvl="3" w:tplc="17183336" w:tentative="1">
      <w:start w:val="1"/>
      <w:numFmt w:val="bullet"/>
      <w:lvlText w:val="–"/>
      <w:lvlJc w:val="left"/>
      <w:pPr>
        <w:tabs>
          <w:tab w:val="num" w:pos="2880"/>
        </w:tabs>
        <w:ind w:left="2880" w:hanging="360"/>
      </w:pPr>
      <w:rPr>
        <w:rFonts w:ascii="Ericsson Capital TT" w:hAnsi="Ericsson Capital TT" w:hint="default"/>
      </w:rPr>
    </w:lvl>
    <w:lvl w:ilvl="4" w:tplc="EA0A4690" w:tentative="1">
      <w:start w:val="1"/>
      <w:numFmt w:val="bullet"/>
      <w:lvlText w:val="–"/>
      <w:lvlJc w:val="left"/>
      <w:pPr>
        <w:tabs>
          <w:tab w:val="num" w:pos="3600"/>
        </w:tabs>
        <w:ind w:left="3600" w:hanging="360"/>
      </w:pPr>
      <w:rPr>
        <w:rFonts w:ascii="Ericsson Capital TT" w:hAnsi="Ericsson Capital TT" w:hint="default"/>
      </w:rPr>
    </w:lvl>
    <w:lvl w:ilvl="5" w:tplc="6AF0F894" w:tentative="1">
      <w:start w:val="1"/>
      <w:numFmt w:val="bullet"/>
      <w:lvlText w:val="–"/>
      <w:lvlJc w:val="left"/>
      <w:pPr>
        <w:tabs>
          <w:tab w:val="num" w:pos="4320"/>
        </w:tabs>
        <w:ind w:left="4320" w:hanging="360"/>
      </w:pPr>
      <w:rPr>
        <w:rFonts w:ascii="Ericsson Capital TT" w:hAnsi="Ericsson Capital TT" w:hint="default"/>
      </w:rPr>
    </w:lvl>
    <w:lvl w:ilvl="6" w:tplc="11A65AE8" w:tentative="1">
      <w:start w:val="1"/>
      <w:numFmt w:val="bullet"/>
      <w:lvlText w:val="–"/>
      <w:lvlJc w:val="left"/>
      <w:pPr>
        <w:tabs>
          <w:tab w:val="num" w:pos="5040"/>
        </w:tabs>
        <w:ind w:left="5040" w:hanging="360"/>
      </w:pPr>
      <w:rPr>
        <w:rFonts w:ascii="Ericsson Capital TT" w:hAnsi="Ericsson Capital TT" w:hint="default"/>
      </w:rPr>
    </w:lvl>
    <w:lvl w:ilvl="7" w:tplc="FD1A64AC" w:tentative="1">
      <w:start w:val="1"/>
      <w:numFmt w:val="bullet"/>
      <w:lvlText w:val="–"/>
      <w:lvlJc w:val="left"/>
      <w:pPr>
        <w:tabs>
          <w:tab w:val="num" w:pos="5760"/>
        </w:tabs>
        <w:ind w:left="5760" w:hanging="360"/>
      </w:pPr>
      <w:rPr>
        <w:rFonts w:ascii="Ericsson Capital TT" w:hAnsi="Ericsson Capital TT" w:hint="default"/>
      </w:rPr>
    </w:lvl>
    <w:lvl w:ilvl="8" w:tplc="B784F7BA" w:tentative="1">
      <w:start w:val="1"/>
      <w:numFmt w:val="bullet"/>
      <w:lvlText w:val="–"/>
      <w:lvlJc w:val="left"/>
      <w:pPr>
        <w:tabs>
          <w:tab w:val="num" w:pos="6480"/>
        </w:tabs>
        <w:ind w:left="6480" w:hanging="360"/>
      </w:pPr>
      <w:rPr>
        <w:rFonts w:ascii="Ericsson Capital TT" w:hAnsi="Ericsson Capital TT"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6A0F3D"/>
    <w:multiLevelType w:val="hybridMultilevel"/>
    <w:tmpl w:val="9D0425C0"/>
    <w:lvl w:ilvl="0" w:tplc="A7A04340">
      <w:start w:val="1"/>
      <w:numFmt w:val="bullet"/>
      <w:lvlText w:val="›"/>
      <w:lvlJc w:val="left"/>
      <w:pPr>
        <w:tabs>
          <w:tab w:val="num" w:pos="720"/>
        </w:tabs>
        <w:ind w:left="720" w:hanging="360"/>
      </w:pPr>
      <w:rPr>
        <w:rFonts w:ascii="Arial" w:hAnsi="Arial" w:hint="default"/>
      </w:rPr>
    </w:lvl>
    <w:lvl w:ilvl="1" w:tplc="3FF87BE0" w:tentative="1">
      <w:start w:val="1"/>
      <w:numFmt w:val="bullet"/>
      <w:lvlText w:val="›"/>
      <w:lvlJc w:val="left"/>
      <w:pPr>
        <w:tabs>
          <w:tab w:val="num" w:pos="1440"/>
        </w:tabs>
        <w:ind w:left="1440" w:hanging="360"/>
      </w:pPr>
      <w:rPr>
        <w:rFonts w:ascii="Arial" w:hAnsi="Arial" w:hint="default"/>
      </w:rPr>
    </w:lvl>
    <w:lvl w:ilvl="2" w:tplc="E5463CB4" w:tentative="1">
      <w:start w:val="1"/>
      <w:numFmt w:val="bullet"/>
      <w:lvlText w:val="›"/>
      <w:lvlJc w:val="left"/>
      <w:pPr>
        <w:tabs>
          <w:tab w:val="num" w:pos="2160"/>
        </w:tabs>
        <w:ind w:left="2160" w:hanging="360"/>
      </w:pPr>
      <w:rPr>
        <w:rFonts w:ascii="Arial" w:hAnsi="Arial" w:hint="default"/>
      </w:rPr>
    </w:lvl>
    <w:lvl w:ilvl="3" w:tplc="39EC6F36" w:tentative="1">
      <w:start w:val="1"/>
      <w:numFmt w:val="bullet"/>
      <w:lvlText w:val="›"/>
      <w:lvlJc w:val="left"/>
      <w:pPr>
        <w:tabs>
          <w:tab w:val="num" w:pos="2880"/>
        </w:tabs>
        <w:ind w:left="2880" w:hanging="360"/>
      </w:pPr>
      <w:rPr>
        <w:rFonts w:ascii="Arial" w:hAnsi="Arial" w:hint="default"/>
      </w:rPr>
    </w:lvl>
    <w:lvl w:ilvl="4" w:tplc="060EBFDE" w:tentative="1">
      <w:start w:val="1"/>
      <w:numFmt w:val="bullet"/>
      <w:lvlText w:val="›"/>
      <w:lvlJc w:val="left"/>
      <w:pPr>
        <w:tabs>
          <w:tab w:val="num" w:pos="3600"/>
        </w:tabs>
        <w:ind w:left="3600" w:hanging="360"/>
      </w:pPr>
      <w:rPr>
        <w:rFonts w:ascii="Arial" w:hAnsi="Arial" w:hint="default"/>
      </w:rPr>
    </w:lvl>
    <w:lvl w:ilvl="5" w:tplc="28BE7E88" w:tentative="1">
      <w:start w:val="1"/>
      <w:numFmt w:val="bullet"/>
      <w:lvlText w:val="›"/>
      <w:lvlJc w:val="left"/>
      <w:pPr>
        <w:tabs>
          <w:tab w:val="num" w:pos="4320"/>
        </w:tabs>
        <w:ind w:left="4320" w:hanging="360"/>
      </w:pPr>
      <w:rPr>
        <w:rFonts w:ascii="Arial" w:hAnsi="Arial" w:hint="default"/>
      </w:rPr>
    </w:lvl>
    <w:lvl w:ilvl="6" w:tplc="985EF2D4" w:tentative="1">
      <w:start w:val="1"/>
      <w:numFmt w:val="bullet"/>
      <w:lvlText w:val="›"/>
      <w:lvlJc w:val="left"/>
      <w:pPr>
        <w:tabs>
          <w:tab w:val="num" w:pos="5040"/>
        </w:tabs>
        <w:ind w:left="5040" w:hanging="360"/>
      </w:pPr>
      <w:rPr>
        <w:rFonts w:ascii="Arial" w:hAnsi="Arial" w:hint="default"/>
      </w:rPr>
    </w:lvl>
    <w:lvl w:ilvl="7" w:tplc="73285626" w:tentative="1">
      <w:start w:val="1"/>
      <w:numFmt w:val="bullet"/>
      <w:lvlText w:val="›"/>
      <w:lvlJc w:val="left"/>
      <w:pPr>
        <w:tabs>
          <w:tab w:val="num" w:pos="5760"/>
        </w:tabs>
        <w:ind w:left="5760" w:hanging="360"/>
      </w:pPr>
      <w:rPr>
        <w:rFonts w:ascii="Arial" w:hAnsi="Arial" w:hint="default"/>
      </w:rPr>
    </w:lvl>
    <w:lvl w:ilvl="8" w:tplc="432A04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130DBB"/>
    <w:multiLevelType w:val="hybridMultilevel"/>
    <w:tmpl w:val="C850605C"/>
    <w:lvl w:ilvl="0" w:tplc="0F7417F0">
      <w:start w:val="1"/>
      <w:numFmt w:val="bullet"/>
      <w:lvlText w:val="–"/>
      <w:lvlJc w:val="left"/>
      <w:pPr>
        <w:tabs>
          <w:tab w:val="num" w:pos="720"/>
        </w:tabs>
        <w:ind w:left="720" w:hanging="360"/>
      </w:pPr>
      <w:rPr>
        <w:rFonts w:ascii="Ericsson Capital TT" w:hAnsi="Ericsson Capital TT" w:hint="default"/>
      </w:rPr>
    </w:lvl>
    <w:lvl w:ilvl="1" w:tplc="B602D7D4">
      <w:start w:val="1"/>
      <w:numFmt w:val="bullet"/>
      <w:lvlText w:val="–"/>
      <w:lvlJc w:val="left"/>
      <w:pPr>
        <w:tabs>
          <w:tab w:val="num" w:pos="1440"/>
        </w:tabs>
        <w:ind w:left="1440" w:hanging="360"/>
      </w:pPr>
      <w:rPr>
        <w:rFonts w:ascii="Ericsson Capital TT" w:hAnsi="Ericsson Capital TT" w:hint="default"/>
      </w:rPr>
    </w:lvl>
    <w:lvl w:ilvl="2" w:tplc="576654A2" w:tentative="1">
      <w:start w:val="1"/>
      <w:numFmt w:val="bullet"/>
      <w:lvlText w:val="–"/>
      <w:lvlJc w:val="left"/>
      <w:pPr>
        <w:tabs>
          <w:tab w:val="num" w:pos="2160"/>
        </w:tabs>
        <w:ind w:left="2160" w:hanging="360"/>
      </w:pPr>
      <w:rPr>
        <w:rFonts w:ascii="Ericsson Capital TT" w:hAnsi="Ericsson Capital TT" w:hint="default"/>
      </w:rPr>
    </w:lvl>
    <w:lvl w:ilvl="3" w:tplc="315868B8" w:tentative="1">
      <w:start w:val="1"/>
      <w:numFmt w:val="bullet"/>
      <w:lvlText w:val="–"/>
      <w:lvlJc w:val="left"/>
      <w:pPr>
        <w:tabs>
          <w:tab w:val="num" w:pos="2880"/>
        </w:tabs>
        <w:ind w:left="2880" w:hanging="360"/>
      </w:pPr>
      <w:rPr>
        <w:rFonts w:ascii="Ericsson Capital TT" w:hAnsi="Ericsson Capital TT" w:hint="default"/>
      </w:rPr>
    </w:lvl>
    <w:lvl w:ilvl="4" w:tplc="B4B0655A" w:tentative="1">
      <w:start w:val="1"/>
      <w:numFmt w:val="bullet"/>
      <w:lvlText w:val="–"/>
      <w:lvlJc w:val="left"/>
      <w:pPr>
        <w:tabs>
          <w:tab w:val="num" w:pos="3600"/>
        </w:tabs>
        <w:ind w:left="3600" w:hanging="360"/>
      </w:pPr>
      <w:rPr>
        <w:rFonts w:ascii="Ericsson Capital TT" w:hAnsi="Ericsson Capital TT" w:hint="default"/>
      </w:rPr>
    </w:lvl>
    <w:lvl w:ilvl="5" w:tplc="CED2058C" w:tentative="1">
      <w:start w:val="1"/>
      <w:numFmt w:val="bullet"/>
      <w:lvlText w:val="–"/>
      <w:lvlJc w:val="left"/>
      <w:pPr>
        <w:tabs>
          <w:tab w:val="num" w:pos="4320"/>
        </w:tabs>
        <w:ind w:left="4320" w:hanging="360"/>
      </w:pPr>
      <w:rPr>
        <w:rFonts w:ascii="Ericsson Capital TT" w:hAnsi="Ericsson Capital TT" w:hint="default"/>
      </w:rPr>
    </w:lvl>
    <w:lvl w:ilvl="6" w:tplc="358EFBDE" w:tentative="1">
      <w:start w:val="1"/>
      <w:numFmt w:val="bullet"/>
      <w:lvlText w:val="–"/>
      <w:lvlJc w:val="left"/>
      <w:pPr>
        <w:tabs>
          <w:tab w:val="num" w:pos="5040"/>
        </w:tabs>
        <w:ind w:left="5040" w:hanging="360"/>
      </w:pPr>
      <w:rPr>
        <w:rFonts w:ascii="Ericsson Capital TT" w:hAnsi="Ericsson Capital TT" w:hint="default"/>
      </w:rPr>
    </w:lvl>
    <w:lvl w:ilvl="7" w:tplc="3AA062C8" w:tentative="1">
      <w:start w:val="1"/>
      <w:numFmt w:val="bullet"/>
      <w:lvlText w:val="–"/>
      <w:lvlJc w:val="left"/>
      <w:pPr>
        <w:tabs>
          <w:tab w:val="num" w:pos="5760"/>
        </w:tabs>
        <w:ind w:left="5760" w:hanging="360"/>
      </w:pPr>
      <w:rPr>
        <w:rFonts w:ascii="Ericsson Capital TT" w:hAnsi="Ericsson Capital TT" w:hint="default"/>
      </w:rPr>
    </w:lvl>
    <w:lvl w:ilvl="8" w:tplc="F0EC35E6"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DB68B3"/>
    <w:multiLevelType w:val="hybridMultilevel"/>
    <w:tmpl w:val="334E8ED4"/>
    <w:lvl w:ilvl="0" w:tplc="9192F6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661A60"/>
    <w:multiLevelType w:val="hybridMultilevel"/>
    <w:tmpl w:val="2F8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4"/>
  </w:num>
  <w:num w:numId="4">
    <w:abstractNumId w:val="15"/>
  </w:num>
  <w:num w:numId="5">
    <w:abstractNumId w:val="10"/>
  </w:num>
  <w:num w:numId="6">
    <w:abstractNumId w:val="17"/>
  </w:num>
  <w:num w:numId="7">
    <w:abstractNumId w:val="23"/>
  </w:num>
  <w:num w:numId="8">
    <w:abstractNumId w:val="11"/>
  </w:num>
  <w:num w:numId="9">
    <w:abstractNumId w:val="8"/>
  </w:num>
  <w:num w:numId="10">
    <w:abstractNumId w:val="2"/>
  </w:num>
  <w:num w:numId="11">
    <w:abstractNumId w:val="1"/>
  </w:num>
  <w:num w:numId="12">
    <w:abstractNumId w:val="0"/>
  </w:num>
  <w:num w:numId="13">
    <w:abstractNumId w:val="22"/>
  </w:num>
  <w:num w:numId="14">
    <w:abstractNumId w:val="12"/>
  </w:num>
  <w:num w:numId="15">
    <w:abstractNumId w:val="13"/>
  </w:num>
  <w:num w:numId="16">
    <w:abstractNumId w:val="16"/>
  </w:num>
  <w:num w:numId="17">
    <w:abstractNumId w:val="7"/>
  </w:num>
  <w:num w:numId="18">
    <w:abstractNumId w:val="30"/>
  </w:num>
  <w:num w:numId="19">
    <w:abstractNumId w:val="29"/>
  </w:num>
  <w:num w:numId="20">
    <w:abstractNumId w:val="19"/>
  </w:num>
  <w:num w:numId="21">
    <w:abstractNumId w:val="5"/>
  </w:num>
  <w:num w:numId="22">
    <w:abstractNumId w:val="18"/>
  </w:num>
  <w:num w:numId="23">
    <w:abstractNumId w:val="6"/>
  </w:num>
  <w:num w:numId="24">
    <w:abstractNumId w:val="9"/>
  </w:num>
  <w:num w:numId="25">
    <w:abstractNumId w:val="20"/>
  </w:num>
  <w:num w:numId="26">
    <w:abstractNumId w:val="31"/>
  </w:num>
  <w:num w:numId="27">
    <w:abstractNumId w:val="28"/>
  </w:num>
  <w:num w:numId="28">
    <w:abstractNumId w:val="26"/>
  </w:num>
  <w:num w:numId="29">
    <w:abstractNumId w:val="27"/>
  </w:num>
  <w:num w:numId="30">
    <w:abstractNumId w:val="25"/>
  </w:num>
  <w:num w:numId="31">
    <w:abstractNumId w:val="4"/>
  </w:num>
  <w:num w:numId="32">
    <w:abstractNumId w:val="24"/>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149"/>
    <w:rsid w:val="00002A37"/>
    <w:rsid w:val="00003F5E"/>
    <w:rsid w:val="00006446"/>
    <w:rsid w:val="00006896"/>
    <w:rsid w:val="00007CDC"/>
    <w:rsid w:val="00011B28"/>
    <w:rsid w:val="00015D15"/>
    <w:rsid w:val="00024D3A"/>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94D"/>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0A5C"/>
    <w:rsid w:val="000E1E92"/>
    <w:rsid w:val="000F06D6"/>
    <w:rsid w:val="000F0EB1"/>
    <w:rsid w:val="000F1106"/>
    <w:rsid w:val="000F3BE9"/>
    <w:rsid w:val="000F3F6C"/>
    <w:rsid w:val="000F44DA"/>
    <w:rsid w:val="000F6DF3"/>
    <w:rsid w:val="001005FF"/>
    <w:rsid w:val="001062FB"/>
    <w:rsid w:val="001063E6"/>
    <w:rsid w:val="00113CF4"/>
    <w:rsid w:val="001153EA"/>
    <w:rsid w:val="00115643"/>
    <w:rsid w:val="00116765"/>
    <w:rsid w:val="001205AD"/>
    <w:rsid w:val="001219F5"/>
    <w:rsid w:val="00121A20"/>
    <w:rsid w:val="0012377F"/>
    <w:rsid w:val="00124314"/>
    <w:rsid w:val="00126B4A"/>
    <w:rsid w:val="001274B2"/>
    <w:rsid w:val="00132FD0"/>
    <w:rsid w:val="001344C0"/>
    <w:rsid w:val="001346FA"/>
    <w:rsid w:val="00135252"/>
    <w:rsid w:val="00137AB5"/>
    <w:rsid w:val="00137F0B"/>
    <w:rsid w:val="001427CA"/>
    <w:rsid w:val="00151E23"/>
    <w:rsid w:val="001526E0"/>
    <w:rsid w:val="0015373E"/>
    <w:rsid w:val="001551B5"/>
    <w:rsid w:val="001659C1"/>
    <w:rsid w:val="00173A8E"/>
    <w:rsid w:val="00176559"/>
    <w:rsid w:val="0018143F"/>
    <w:rsid w:val="00182D34"/>
    <w:rsid w:val="00190AC1"/>
    <w:rsid w:val="0019341A"/>
    <w:rsid w:val="00197DF9"/>
    <w:rsid w:val="001A1987"/>
    <w:rsid w:val="001A2564"/>
    <w:rsid w:val="001A6173"/>
    <w:rsid w:val="001A6CBA"/>
    <w:rsid w:val="001B0D97"/>
    <w:rsid w:val="001B3799"/>
    <w:rsid w:val="001B5A5D"/>
    <w:rsid w:val="001C1CE5"/>
    <w:rsid w:val="001C36D0"/>
    <w:rsid w:val="001C3D2A"/>
    <w:rsid w:val="001D079F"/>
    <w:rsid w:val="001D51BA"/>
    <w:rsid w:val="001D6342"/>
    <w:rsid w:val="001D6D53"/>
    <w:rsid w:val="001E2560"/>
    <w:rsid w:val="001E58E2"/>
    <w:rsid w:val="001E7116"/>
    <w:rsid w:val="001E7AED"/>
    <w:rsid w:val="001F3916"/>
    <w:rsid w:val="001F54C5"/>
    <w:rsid w:val="001F662C"/>
    <w:rsid w:val="001F7074"/>
    <w:rsid w:val="00200490"/>
    <w:rsid w:val="00201F3A"/>
    <w:rsid w:val="0020222D"/>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4B7"/>
    <w:rsid w:val="0028280A"/>
    <w:rsid w:val="00286ACD"/>
    <w:rsid w:val="00287838"/>
    <w:rsid w:val="002907B5"/>
    <w:rsid w:val="00292EB7"/>
    <w:rsid w:val="00296227"/>
    <w:rsid w:val="00296F44"/>
    <w:rsid w:val="0029777D"/>
    <w:rsid w:val="002A055E"/>
    <w:rsid w:val="002A1D4E"/>
    <w:rsid w:val="002A2869"/>
    <w:rsid w:val="002A5EA8"/>
    <w:rsid w:val="002B1E81"/>
    <w:rsid w:val="002B24D6"/>
    <w:rsid w:val="002B3B14"/>
    <w:rsid w:val="002C0427"/>
    <w:rsid w:val="002C41E6"/>
    <w:rsid w:val="002C70A5"/>
    <w:rsid w:val="002C7611"/>
    <w:rsid w:val="002C7D28"/>
    <w:rsid w:val="002D071A"/>
    <w:rsid w:val="002D0BD6"/>
    <w:rsid w:val="002D34B2"/>
    <w:rsid w:val="002D7637"/>
    <w:rsid w:val="002E17F2"/>
    <w:rsid w:val="002E7CAE"/>
    <w:rsid w:val="002F2771"/>
    <w:rsid w:val="002F37A9"/>
    <w:rsid w:val="002F6288"/>
    <w:rsid w:val="00301CE6"/>
    <w:rsid w:val="0030256B"/>
    <w:rsid w:val="0030501F"/>
    <w:rsid w:val="00307BA1"/>
    <w:rsid w:val="00311702"/>
    <w:rsid w:val="00311E82"/>
    <w:rsid w:val="00312C14"/>
    <w:rsid w:val="00313FD6"/>
    <w:rsid w:val="003143BD"/>
    <w:rsid w:val="003203ED"/>
    <w:rsid w:val="00322C9F"/>
    <w:rsid w:val="00324D23"/>
    <w:rsid w:val="00325FE7"/>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42B"/>
    <w:rsid w:val="00377CE1"/>
    <w:rsid w:val="00385BF0"/>
    <w:rsid w:val="0038708B"/>
    <w:rsid w:val="003870D7"/>
    <w:rsid w:val="003939FF"/>
    <w:rsid w:val="00397F61"/>
    <w:rsid w:val="003A058C"/>
    <w:rsid w:val="003A0E41"/>
    <w:rsid w:val="003A2033"/>
    <w:rsid w:val="003A2223"/>
    <w:rsid w:val="003A264F"/>
    <w:rsid w:val="003A2A0F"/>
    <w:rsid w:val="003A45A1"/>
    <w:rsid w:val="003A5B0A"/>
    <w:rsid w:val="003A6BAC"/>
    <w:rsid w:val="003A7EF3"/>
    <w:rsid w:val="003B159C"/>
    <w:rsid w:val="003B369F"/>
    <w:rsid w:val="003B36A3"/>
    <w:rsid w:val="003B7FE5"/>
    <w:rsid w:val="003C11C8"/>
    <w:rsid w:val="003C2702"/>
    <w:rsid w:val="003C5D7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5747"/>
    <w:rsid w:val="00421105"/>
    <w:rsid w:val="004242F4"/>
    <w:rsid w:val="004250E2"/>
    <w:rsid w:val="00427248"/>
    <w:rsid w:val="00437447"/>
    <w:rsid w:val="00441782"/>
    <w:rsid w:val="00441A92"/>
    <w:rsid w:val="00441ED9"/>
    <w:rsid w:val="00444F56"/>
    <w:rsid w:val="00446488"/>
    <w:rsid w:val="004517AA"/>
    <w:rsid w:val="00452CAC"/>
    <w:rsid w:val="00457565"/>
    <w:rsid w:val="00457B71"/>
    <w:rsid w:val="00463779"/>
    <w:rsid w:val="00465ABC"/>
    <w:rsid w:val="004669E2"/>
    <w:rsid w:val="00470C31"/>
    <w:rsid w:val="004734D0"/>
    <w:rsid w:val="0047556B"/>
    <w:rsid w:val="00477768"/>
    <w:rsid w:val="00492BC5"/>
    <w:rsid w:val="004950C6"/>
    <w:rsid w:val="004964F1"/>
    <w:rsid w:val="004A0988"/>
    <w:rsid w:val="004A16BC"/>
    <w:rsid w:val="004A2B94"/>
    <w:rsid w:val="004A7F20"/>
    <w:rsid w:val="004B06DF"/>
    <w:rsid w:val="004B7C0C"/>
    <w:rsid w:val="004C3898"/>
    <w:rsid w:val="004D36B1"/>
    <w:rsid w:val="004D7EBD"/>
    <w:rsid w:val="004E2680"/>
    <w:rsid w:val="004E28F9"/>
    <w:rsid w:val="004E462E"/>
    <w:rsid w:val="004E56DC"/>
    <w:rsid w:val="004E76F4"/>
    <w:rsid w:val="004F0B4E"/>
    <w:rsid w:val="004F0B6C"/>
    <w:rsid w:val="004F2078"/>
    <w:rsid w:val="004F4DA3"/>
    <w:rsid w:val="004F7508"/>
    <w:rsid w:val="00506557"/>
    <w:rsid w:val="0050677A"/>
    <w:rsid w:val="005108D8"/>
    <w:rsid w:val="005116F9"/>
    <w:rsid w:val="005149A3"/>
    <w:rsid w:val="005153A7"/>
    <w:rsid w:val="005219CF"/>
    <w:rsid w:val="00534B59"/>
    <w:rsid w:val="00536759"/>
    <w:rsid w:val="00537C62"/>
    <w:rsid w:val="00546970"/>
    <w:rsid w:val="00554192"/>
    <w:rsid w:val="00554E19"/>
    <w:rsid w:val="0056121F"/>
    <w:rsid w:val="00572505"/>
    <w:rsid w:val="00573D5D"/>
    <w:rsid w:val="005744EE"/>
    <w:rsid w:val="00575DA6"/>
    <w:rsid w:val="00582809"/>
    <w:rsid w:val="00583D71"/>
    <w:rsid w:val="0058798C"/>
    <w:rsid w:val="005900FA"/>
    <w:rsid w:val="00590D61"/>
    <w:rsid w:val="005935A4"/>
    <w:rsid w:val="005948C2"/>
    <w:rsid w:val="00595DCA"/>
    <w:rsid w:val="0059779B"/>
    <w:rsid w:val="005A209A"/>
    <w:rsid w:val="005A662D"/>
    <w:rsid w:val="005B1D41"/>
    <w:rsid w:val="005B35D7"/>
    <w:rsid w:val="005B392A"/>
    <w:rsid w:val="005B3AA3"/>
    <w:rsid w:val="005B69C3"/>
    <w:rsid w:val="005B6F83"/>
    <w:rsid w:val="005B721B"/>
    <w:rsid w:val="005C02E8"/>
    <w:rsid w:val="005C6DD7"/>
    <w:rsid w:val="005C74FB"/>
    <w:rsid w:val="005D1602"/>
    <w:rsid w:val="005E08AE"/>
    <w:rsid w:val="005E385F"/>
    <w:rsid w:val="005E5B81"/>
    <w:rsid w:val="005F2CB1"/>
    <w:rsid w:val="005F3025"/>
    <w:rsid w:val="005F59D9"/>
    <w:rsid w:val="005F5CD4"/>
    <w:rsid w:val="005F618C"/>
    <w:rsid w:val="005F70BD"/>
    <w:rsid w:val="00600073"/>
    <w:rsid w:val="0060283C"/>
    <w:rsid w:val="00604F14"/>
    <w:rsid w:val="006106DB"/>
    <w:rsid w:val="00611B83"/>
    <w:rsid w:val="00613257"/>
    <w:rsid w:val="00620A71"/>
    <w:rsid w:val="00620D80"/>
    <w:rsid w:val="006234A6"/>
    <w:rsid w:val="00630001"/>
    <w:rsid w:val="006308AE"/>
    <w:rsid w:val="006311B3"/>
    <w:rsid w:val="0063284C"/>
    <w:rsid w:val="00636398"/>
    <w:rsid w:val="006368D3"/>
    <w:rsid w:val="006377EC"/>
    <w:rsid w:val="0064151F"/>
    <w:rsid w:val="00641533"/>
    <w:rsid w:val="0064208D"/>
    <w:rsid w:val="00643475"/>
    <w:rsid w:val="0064396A"/>
    <w:rsid w:val="0064624E"/>
    <w:rsid w:val="00650AB9"/>
    <w:rsid w:val="006513E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3468"/>
    <w:rsid w:val="0071357E"/>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6920"/>
    <w:rsid w:val="007571E1"/>
    <w:rsid w:val="007604B2"/>
    <w:rsid w:val="00761E36"/>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004A"/>
    <w:rsid w:val="007A1CB3"/>
    <w:rsid w:val="007A306F"/>
    <w:rsid w:val="007A43A6"/>
    <w:rsid w:val="007A58A6"/>
    <w:rsid w:val="007A5B38"/>
    <w:rsid w:val="007B3D2D"/>
    <w:rsid w:val="007B50AE"/>
    <w:rsid w:val="007B51DF"/>
    <w:rsid w:val="007B7374"/>
    <w:rsid w:val="007C05DD"/>
    <w:rsid w:val="007C1823"/>
    <w:rsid w:val="007C3D18"/>
    <w:rsid w:val="007C4B79"/>
    <w:rsid w:val="007C60BF"/>
    <w:rsid w:val="007C6A07"/>
    <w:rsid w:val="007C75A1"/>
    <w:rsid w:val="007C77A5"/>
    <w:rsid w:val="007D04E5"/>
    <w:rsid w:val="007D5901"/>
    <w:rsid w:val="007D7526"/>
    <w:rsid w:val="007E4610"/>
    <w:rsid w:val="007E4715"/>
    <w:rsid w:val="007E4762"/>
    <w:rsid w:val="007E505B"/>
    <w:rsid w:val="007E68EF"/>
    <w:rsid w:val="007E7091"/>
    <w:rsid w:val="007F6935"/>
    <w:rsid w:val="007F75D5"/>
    <w:rsid w:val="00803FAE"/>
    <w:rsid w:val="0080605F"/>
    <w:rsid w:val="00806603"/>
    <w:rsid w:val="00806EE7"/>
    <w:rsid w:val="00807786"/>
    <w:rsid w:val="00811FCB"/>
    <w:rsid w:val="008158D6"/>
    <w:rsid w:val="00817196"/>
    <w:rsid w:val="00822875"/>
    <w:rsid w:val="008235DB"/>
    <w:rsid w:val="00824AB4"/>
    <w:rsid w:val="00824BA1"/>
    <w:rsid w:val="00825C42"/>
    <w:rsid w:val="00825D25"/>
    <w:rsid w:val="00827D6F"/>
    <w:rsid w:val="008376AC"/>
    <w:rsid w:val="008444E8"/>
    <w:rsid w:val="00844D87"/>
    <w:rsid w:val="00844E80"/>
    <w:rsid w:val="00846FE7"/>
    <w:rsid w:val="00856911"/>
    <w:rsid w:val="008677FD"/>
    <w:rsid w:val="008706D4"/>
    <w:rsid w:val="00870F8A"/>
    <w:rsid w:val="008719A4"/>
    <w:rsid w:val="00871D23"/>
    <w:rsid w:val="00872409"/>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F5B"/>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AE8"/>
    <w:rsid w:val="008F1EAB"/>
    <w:rsid w:val="008F33DC"/>
    <w:rsid w:val="008F477F"/>
    <w:rsid w:val="00902350"/>
    <w:rsid w:val="00902D82"/>
    <w:rsid w:val="0090336B"/>
    <w:rsid w:val="009053AA"/>
    <w:rsid w:val="00906939"/>
    <w:rsid w:val="00910B7D"/>
    <w:rsid w:val="00911036"/>
    <w:rsid w:val="00911DFB"/>
    <w:rsid w:val="009139D9"/>
    <w:rsid w:val="00914AD8"/>
    <w:rsid w:val="00916079"/>
    <w:rsid w:val="00917CE9"/>
    <w:rsid w:val="00920BF2"/>
    <w:rsid w:val="00922010"/>
    <w:rsid w:val="00924C41"/>
    <w:rsid w:val="00931654"/>
    <w:rsid w:val="00931BD9"/>
    <w:rsid w:val="00935739"/>
    <w:rsid w:val="0093589A"/>
    <w:rsid w:val="00935BC7"/>
    <w:rsid w:val="009368F3"/>
    <w:rsid w:val="00941636"/>
    <w:rsid w:val="00943742"/>
    <w:rsid w:val="00944C33"/>
    <w:rsid w:val="00945C05"/>
    <w:rsid w:val="00945DBB"/>
    <w:rsid w:val="00946945"/>
    <w:rsid w:val="00947713"/>
    <w:rsid w:val="00950DE7"/>
    <w:rsid w:val="00952A24"/>
    <w:rsid w:val="00953920"/>
    <w:rsid w:val="00953D47"/>
    <w:rsid w:val="0095681E"/>
    <w:rsid w:val="009572D4"/>
    <w:rsid w:val="009576F4"/>
    <w:rsid w:val="00957DEE"/>
    <w:rsid w:val="00961921"/>
    <w:rsid w:val="0096430A"/>
    <w:rsid w:val="0096554B"/>
    <w:rsid w:val="0096584A"/>
    <w:rsid w:val="00971F08"/>
    <w:rsid w:val="0097493A"/>
    <w:rsid w:val="0097603D"/>
    <w:rsid w:val="00976949"/>
    <w:rsid w:val="00980477"/>
    <w:rsid w:val="009835AC"/>
    <w:rsid w:val="00985253"/>
    <w:rsid w:val="009853B3"/>
    <w:rsid w:val="00985BFD"/>
    <w:rsid w:val="00986A91"/>
    <w:rsid w:val="00990630"/>
    <w:rsid w:val="00991761"/>
    <w:rsid w:val="00994DCA"/>
    <w:rsid w:val="009960EC"/>
    <w:rsid w:val="009970DD"/>
    <w:rsid w:val="009974DE"/>
    <w:rsid w:val="00997CB2"/>
    <w:rsid w:val="00997FE0"/>
    <w:rsid w:val="009A0FBA"/>
    <w:rsid w:val="009A1601"/>
    <w:rsid w:val="009A18A7"/>
    <w:rsid w:val="009A462D"/>
    <w:rsid w:val="009A5314"/>
    <w:rsid w:val="009A5CBA"/>
    <w:rsid w:val="009B1F30"/>
    <w:rsid w:val="009B3AC2"/>
    <w:rsid w:val="009B4DF4"/>
    <w:rsid w:val="009B564E"/>
    <w:rsid w:val="009B7E87"/>
    <w:rsid w:val="009C0FAB"/>
    <w:rsid w:val="009C403E"/>
    <w:rsid w:val="009C6832"/>
    <w:rsid w:val="009D4FF0"/>
    <w:rsid w:val="009D703C"/>
    <w:rsid w:val="009D718F"/>
    <w:rsid w:val="009E068F"/>
    <w:rsid w:val="009E14E0"/>
    <w:rsid w:val="009E35DB"/>
    <w:rsid w:val="009E47A3"/>
    <w:rsid w:val="009E5989"/>
    <w:rsid w:val="009F08F3"/>
    <w:rsid w:val="009F344F"/>
    <w:rsid w:val="009F51FA"/>
    <w:rsid w:val="009F7A9B"/>
    <w:rsid w:val="00A031D8"/>
    <w:rsid w:val="00A048A8"/>
    <w:rsid w:val="00A04F49"/>
    <w:rsid w:val="00A13E54"/>
    <w:rsid w:val="00A156FC"/>
    <w:rsid w:val="00A15745"/>
    <w:rsid w:val="00A17F63"/>
    <w:rsid w:val="00A2193B"/>
    <w:rsid w:val="00A2351A"/>
    <w:rsid w:val="00A264A9"/>
    <w:rsid w:val="00A27785"/>
    <w:rsid w:val="00A30187"/>
    <w:rsid w:val="00A3448A"/>
    <w:rsid w:val="00A36297"/>
    <w:rsid w:val="00A41E2B"/>
    <w:rsid w:val="00A41EE2"/>
    <w:rsid w:val="00A45B74"/>
    <w:rsid w:val="00A52E1D"/>
    <w:rsid w:val="00A61499"/>
    <w:rsid w:val="00A62A77"/>
    <w:rsid w:val="00A63483"/>
    <w:rsid w:val="00A657D7"/>
    <w:rsid w:val="00A660AC"/>
    <w:rsid w:val="00A6629C"/>
    <w:rsid w:val="00A67E6C"/>
    <w:rsid w:val="00A71B99"/>
    <w:rsid w:val="00A739D0"/>
    <w:rsid w:val="00A761D4"/>
    <w:rsid w:val="00A77EC4"/>
    <w:rsid w:val="00A80D13"/>
    <w:rsid w:val="00A85C6C"/>
    <w:rsid w:val="00A85EF6"/>
    <w:rsid w:val="00A92879"/>
    <w:rsid w:val="00A9442A"/>
    <w:rsid w:val="00AA016F"/>
    <w:rsid w:val="00AA1ED6"/>
    <w:rsid w:val="00AA51D6"/>
    <w:rsid w:val="00AA60C8"/>
    <w:rsid w:val="00AB0BC8"/>
    <w:rsid w:val="00AB11CA"/>
    <w:rsid w:val="00AB14D9"/>
    <w:rsid w:val="00AB4AB8"/>
    <w:rsid w:val="00AB655E"/>
    <w:rsid w:val="00AC007F"/>
    <w:rsid w:val="00AC2ECD"/>
    <w:rsid w:val="00AC3119"/>
    <w:rsid w:val="00AC49FB"/>
    <w:rsid w:val="00AC5A10"/>
    <w:rsid w:val="00AC7789"/>
    <w:rsid w:val="00AD0AA3"/>
    <w:rsid w:val="00AD1D6F"/>
    <w:rsid w:val="00AD3F94"/>
    <w:rsid w:val="00AD4A5A"/>
    <w:rsid w:val="00AE27AC"/>
    <w:rsid w:val="00AE2FEB"/>
    <w:rsid w:val="00AE40E0"/>
    <w:rsid w:val="00AE4DBA"/>
    <w:rsid w:val="00AE4F07"/>
    <w:rsid w:val="00AE6966"/>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5B10"/>
    <w:rsid w:val="00B372AA"/>
    <w:rsid w:val="00B40445"/>
    <w:rsid w:val="00B41888"/>
    <w:rsid w:val="00B45A52"/>
    <w:rsid w:val="00B46175"/>
    <w:rsid w:val="00B5666A"/>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3A8B"/>
    <w:rsid w:val="00BC4D2E"/>
    <w:rsid w:val="00BC5A3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52E7"/>
    <w:rsid w:val="00C3719D"/>
    <w:rsid w:val="00C44334"/>
    <w:rsid w:val="00C54995"/>
    <w:rsid w:val="00C54D41"/>
    <w:rsid w:val="00C60783"/>
    <w:rsid w:val="00C64672"/>
    <w:rsid w:val="00C70697"/>
    <w:rsid w:val="00C72EF4"/>
    <w:rsid w:val="00C75D2F"/>
    <w:rsid w:val="00C767BE"/>
    <w:rsid w:val="00C76E3C"/>
    <w:rsid w:val="00C81568"/>
    <w:rsid w:val="00C9027A"/>
    <w:rsid w:val="00C9068E"/>
    <w:rsid w:val="00C92432"/>
    <w:rsid w:val="00C93C4B"/>
    <w:rsid w:val="00C944AB"/>
    <w:rsid w:val="00C95B40"/>
    <w:rsid w:val="00CA1068"/>
    <w:rsid w:val="00CA1ED8"/>
    <w:rsid w:val="00CA2417"/>
    <w:rsid w:val="00CA5890"/>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C83"/>
    <w:rsid w:val="00D347B7"/>
    <w:rsid w:val="00D36E71"/>
    <w:rsid w:val="00D37D87"/>
    <w:rsid w:val="00D40B33"/>
    <w:rsid w:val="00D4318F"/>
    <w:rsid w:val="00D438BF"/>
    <w:rsid w:val="00D440F8"/>
    <w:rsid w:val="00D54649"/>
    <w:rsid w:val="00D546FF"/>
    <w:rsid w:val="00D55AD5"/>
    <w:rsid w:val="00D576CA"/>
    <w:rsid w:val="00D61AF5"/>
    <w:rsid w:val="00D652B5"/>
    <w:rsid w:val="00D66155"/>
    <w:rsid w:val="00D708B0"/>
    <w:rsid w:val="00D737D9"/>
    <w:rsid w:val="00D74BDB"/>
    <w:rsid w:val="00D77B1D"/>
    <w:rsid w:val="00D8021F"/>
    <w:rsid w:val="00D80383"/>
    <w:rsid w:val="00D823C6"/>
    <w:rsid w:val="00D84494"/>
    <w:rsid w:val="00D85EFD"/>
    <w:rsid w:val="00D86CA3"/>
    <w:rsid w:val="00D871CE"/>
    <w:rsid w:val="00D90A69"/>
    <w:rsid w:val="00D9196D"/>
    <w:rsid w:val="00D92982"/>
    <w:rsid w:val="00DA305E"/>
    <w:rsid w:val="00DA5417"/>
    <w:rsid w:val="00DA56E8"/>
    <w:rsid w:val="00DB0A9F"/>
    <w:rsid w:val="00DB1C97"/>
    <w:rsid w:val="00DB377D"/>
    <w:rsid w:val="00DC1578"/>
    <w:rsid w:val="00DC2D36"/>
    <w:rsid w:val="00DC53EF"/>
    <w:rsid w:val="00DE5608"/>
    <w:rsid w:val="00DE58D0"/>
    <w:rsid w:val="00DE654F"/>
    <w:rsid w:val="00DF0B6E"/>
    <w:rsid w:val="00DF15E0"/>
    <w:rsid w:val="00DF37A0"/>
    <w:rsid w:val="00E014BD"/>
    <w:rsid w:val="00E110E7"/>
    <w:rsid w:val="00E11B20"/>
    <w:rsid w:val="00E14A79"/>
    <w:rsid w:val="00E17FA2"/>
    <w:rsid w:val="00E22330"/>
    <w:rsid w:val="00E26D17"/>
    <w:rsid w:val="00E30B5A"/>
    <w:rsid w:val="00E3123D"/>
    <w:rsid w:val="00E31461"/>
    <w:rsid w:val="00E31D43"/>
    <w:rsid w:val="00E32608"/>
    <w:rsid w:val="00E34188"/>
    <w:rsid w:val="00E34B6E"/>
    <w:rsid w:val="00E35559"/>
    <w:rsid w:val="00E3723A"/>
    <w:rsid w:val="00E37860"/>
    <w:rsid w:val="00E446F1"/>
    <w:rsid w:val="00E45FAF"/>
    <w:rsid w:val="00E46886"/>
    <w:rsid w:val="00E47AEF"/>
    <w:rsid w:val="00E53B75"/>
    <w:rsid w:val="00E54E3B"/>
    <w:rsid w:val="00E5533A"/>
    <w:rsid w:val="00E5689D"/>
    <w:rsid w:val="00E57565"/>
    <w:rsid w:val="00E60413"/>
    <w:rsid w:val="00E63838"/>
    <w:rsid w:val="00E64434"/>
    <w:rsid w:val="00E64B80"/>
    <w:rsid w:val="00E67C51"/>
    <w:rsid w:val="00E72EFC"/>
    <w:rsid w:val="00E758EC"/>
    <w:rsid w:val="00E8234C"/>
    <w:rsid w:val="00E83AA9"/>
    <w:rsid w:val="00E85928"/>
    <w:rsid w:val="00E867F9"/>
    <w:rsid w:val="00E87822"/>
    <w:rsid w:val="00E90395"/>
    <w:rsid w:val="00E90E49"/>
    <w:rsid w:val="00E917F9"/>
    <w:rsid w:val="00E9291C"/>
    <w:rsid w:val="00E93FFE"/>
    <w:rsid w:val="00E94F8A"/>
    <w:rsid w:val="00EA1FDB"/>
    <w:rsid w:val="00EA4B16"/>
    <w:rsid w:val="00EA7A41"/>
    <w:rsid w:val="00EB077B"/>
    <w:rsid w:val="00EB2341"/>
    <w:rsid w:val="00EB4EA2"/>
    <w:rsid w:val="00EC23CC"/>
    <w:rsid w:val="00EC27C6"/>
    <w:rsid w:val="00EC4207"/>
    <w:rsid w:val="00EC5653"/>
    <w:rsid w:val="00EC71CE"/>
    <w:rsid w:val="00EC77A7"/>
    <w:rsid w:val="00ED1006"/>
    <w:rsid w:val="00ED5CFD"/>
    <w:rsid w:val="00EE59C8"/>
    <w:rsid w:val="00EF18FE"/>
    <w:rsid w:val="00EF5787"/>
    <w:rsid w:val="00EF60D0"/>
    <w:rsid w:val="00F0528D"/>
    <w:rsid w:val="00F06C67"/>
    <w:rsid w:val="00F06DFD"/>
    <w:rsid w:val="00F071D1"/>
    <w:rsid w:val="00F07533"/>
    <w:rsid w:val="00F10629"/>
    <w:rsid w:val="00F15FA5"/>
    <w:rsid w:val="00F209AC"/>
    <w:rsid w:val="00F209B7"/>
    <w:rsid w:val="00F2376F"/>
    <w:rsid w:val="00F243D8"/>
    <w:rsid w:val="00F260C3"/>
    <w:rsid w:val="00F30828"/>
    <w:rsid w:val="00F30936"/>
    <w:rsid w:val="00F313D6"/>
    <w:rsid w:val="00F40F0C"/>
    <w:rsid w:val="00F4766C"/>
    <w:rsid w:val="00F5060E"/>
    <w:rsid w:val="00F507D1"/>
    <w:rsid w:val="00F519CE"/>
    <w:rsid w:val="00F51ADA"/>
    <w:rsid w:val="00F607C5"/>
    <w:rsid w:val="00F60DEA"/>
    <w:rsid w:val="00F61FA3"/>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F8B"/>
    <w:rsid w:val="00F96985"/>
    <w:rsid w:val="00F97838"/>
    <w:rsid w:val="00FA2BB3"/>
    <w:rsid w:val="00FA7023"/>
    <w:rsid w:val="00FB4C80"/>
    <w:rsid w:val="00FB6A6A"/>
    <w:rsid w:val="00FC7429"/>
    <w:rsid w:val="00FD07F6"/>
    <w:rsid w:val="00FD1EC8"/>
    <w:rsid w:val="00FD47ED"/>
    <w:rsid w:val="00FD548F"/>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308AE"/>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6308A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6308AE"/>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6308AE"/>
    <w:pPr>
      <w:numPr>
        <w:ilvl w:val="2"/>
      </w:numPr>
      <w:spacing w:before="120"/>
      <w:outlineLvl w:val="2"/>
    </w:pPr>
    <w:rPr>
      <w:sz w:val="24"/>
      <w:szCs w:val="28"/>
    </w:rPr>
  </w:style>
  <w:style w:type="paragraph" w:styleId="Heading4">
    <w:name w:val="heading 4"/>
    <w:basedOn w:val="Heading3"/>
    <w:next w:val="Normal"/>
    <w:qFormat/>
    <w:rsid w:val="006308AE"/>
    <w:pPr>
      <w:numPr>
        <w:ilvl w:val="3"/>
      </w:numPr>
      <w:outlineLvl w:val="3"/>
    </w:pPr>
    <w:rPr>
      <w:szCs w:val="24"/>
    </w:rPr>
  </w:style>
  <w:style w:type="paragraph" w:styleId="Heading5">
    <w:name w:val="heading 5"/>
    <w:basedOn w:val="Heading4"/>
    <w:next w:val="Normal"/>
    <w:qFormat/>
    <w:rsid w:val="006308AE"/>
    <w:pPr>
      <w:numPr>
        <w:ilvl w:val="4"/>
      </w:numPr>
      <w:outlineLvl w:val="4"/>
    </w:pPr>
    <w:rPr>
      <w:sz w:val="22"/>
      <w:szCs w:val="22"/>
    </w:rPr>
  </w:style>
  <w:style w:type="paragraph" w:styleId="Heading6">
    <w:name w:val="heading 6"/>
    <w:basedOn w:val="Normal"/>
    <w:next w:val="Normal"/>
    <w:qFormat/>
    <w:rsid w:val="006308AE"/>
    <w:pPr>
      <w:keepNext/>
      <w:keepLines/>
      <w:numPr>
        <w:ilvl w:val="5"/>
        <w:numId w:val="1"/>
      </w:numPr>
      <w:spacing w:before="120"/>
      <w:outlineLvl w:val="5"/>
    </w:pPr>
    <w:rPr>
      <w:rFonts w:cs="Arial"/>
    </w:rPr>
  </w:style>
  <w:style w:type="paragraph" w:styleId="Heading7">
    <w:name w:val="heading 7"/>
    <w:basedOn w:val="Normal"/>
    <w:next w:val="Normal"/>
    <w:qFormat/>
    <w:rsid w:val="006308AE"/>
    <w:pPr>
      <w:keepNext/>
      <w:keepLines/>
      <w:numPr>
        <w:ilvl w:val="6"/>
        <w:numId w:val="1"/>
      </w:numPr>
      <w:spacing w:before="120"/>
      <w:outlineLvl w:val="6"/>
    </w:pPr>
    <w:rPr>
      <w:rFonts w:cs="Arial"/>
    </w:rPr>
  </w:style>
  <w:style w:type="paragraph" w:styleId="Heading8">
    <w:name w:val="heading 8"/>
    <w:basedOn w:val="Heading7"/>
    <w:next w:val="Normal"/>
    <w:qFormat/>
    <w:rsid w:val="006308AE"/>
    <w:pPr>
      <w:numPr>
        <w:ilvl w:val="7"/>
      </w:numPr>
      <w:outlineLvl w:val="7"/>
    </w:pPr>
  </w:style>
  <w:style w:type="paragraph" w:styleId="Heading9">
    <w:name w:val="heading 9"/>
    <w:basedOn w:val="Heading8"/>
    <w:next w:val="Normal"/>
    <w:qFormat/>
    <w:rsid w:val="006308AE"/>
    <w:pPr>
      <w:numPr>
        <w:ilvl w:val="8"/>
      </w:numPr>
      <w:outlineLvl w:val="8"/>
    </w:pPr>
  </w:style>
  <w:style w:type="character" w:default="1" w:styleId="DefaultParagraphFont">
    <w:name w:val="Default Paragraph Font"/>
    <w:uiPriority w:val="1"/>
    <w:semiHidden/>
    <w:unhideWhenUsed/>
    <w:rsid w:val="006308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08AE"/>
  </w:style>
  <w:style w:type="paragraph" w:styleId="TOC8">
    <w:name w:val="toc 8"/>
    <w:basedOn w:val="TOC1"/>
    <w:semiHidden/>
    <w:rsid w:val="006308AE"/>
    <w:pPr>
      <w:spacing w:before="180"/>
      <w:ind w:left="2693" w:hanging="2693"/>
    </w:pPr>
    <w:rPr>
      <w:b w:val="0"/>
      <w:bCs/>
    </w:rPr>
  </w:style>
  <w:style w:type="paragraph" w:styleId="TOC1">
    <w:name w:val="toc 1"/>
    <w:aliases w:val="Observation TOC2"/>
    <w:uiPriority w:val="39"/>
    <w:rsid w:val="006308AE"/>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308AE"/>
    <w:pPr>
      <w:keepNext/>
      <w:keepLines/>
      <w:spacing w:before="180"/>
      <w:jc w:val="center"/>
    </w:pPr>
  </w:style>
  <w:style w:type="paragraph" w:styleId="Caption">
    <w:name w:val="caption"/>
    <w:basedOn w:val="Normal"/>
    <w:next w:val="Normal"/>
    <w:qFormat/>
    <w:rsid w:val="006308AE"/>
    <w:pPr>
      <w:spacing w:after="240"/>
      <w:jc w:val="center"/>
    </w:pPr>
    <w:rPr>
      <w:b/>
      <w:bCs/>
    </w:rPr>
  </w:style>
  <w:style w:type="paragraph" w:styleId="TOC5">
    <w:name w:val="toc 5"/>
    <w:aliases w:val="Observation TOC"/>
    <w:basedOn w:val="TOC4"/>
    <w:semiHidden/>
    <w:rsid w:val="006308AE"/>
    <w:pPr>
      <w:tabs>
        <w:tab w:val="right" w:pos="1701"/>
      </w:tabs>
      <w:ind w:left="1701" w:hanging="1701"/>
    </w:pPr>
  </w:style>
  <w:style w:type="paragraph" w:styleId="TOC4">
    <w:name w:val="toc 4"/>
    <w:basedOn w:val="TOC3"/>
    <w:semiHidden/>
    <w:rsid w:val="006308AE"/>
    <w:pPr>
      <w:ind w:left="1418" w:hanging="1418"/>
    </w:pPr>
  </w:style>
  <w:style w:type="paragraph" w:styleId="TOC3">
    <w:name w:val="toc 3"/>
    <w:basedOn w:val="TOC2"/>
    <w:semiHidden/>
    <w:rsid w:val="006308AE"/>
    <w:pPr>
      <w:ind w:left="1134" w:hanging="1134"/>
    </w:pPr>
  </w:style>
  <w:style w:type="paragraph" w:styleId="TOC2">
    <w:name w:val="toc 2"/>
    <w:basedOn w:val="TOC1"/>
    <w:semiHidden/>
    <w:rsid w:val="006308AE"/>
    <w:pPr>
      <w:keepNext w:val="0"/>
      <w:spacing w:before="0"/>
      <w:ind w:left="851" w:hanging="851"/>
    </w:pPr>
    <w:rPr>
      <w:szCs w:val="20"/>
    </w:rPr>
  </w:style>
  <w:style w:type="paragraph" w:styleId="Index2">
    <w:name w:val="index 2"/>
    <w:basedOn w:val="Index1"/>
    <w:semiHidden/>
    <w:rsid w:val="006308AE"/>
    <w:pPr>
      <w:ind w:left="284"/>
    </w:pPr>
  </w:style>
  <w:style w:type="paragraph" w:styleId="Index1">
    <w:name w:val="index 1"/>
    <w:basedOn w:val="Normal"/>
    <w:semiHidden/>
    <w:rsid w:val="006308AE"/>
    <w:pPr>
      <w:keepLines/>
      <w:spacing w:after="0"/>
    </w:pPr>
  </w:style>
  <w:style w:type="paragraph" w:styleId="DocumentMap">
    <w:name w:val="Document Map"/>
    <w:basedOn w:val="Normal"/>
    <w:semiHidden/>
    <w:rsid w:val="006308AE"/>
    <w:pPr>
      <w:shd w:val="clear" w:color="auto" w:fill="000080"/>
    </w:pPr>
    <w:rPr>
      <w:rFonts w:ascii="Tahoma" w:hAnsi="Tahoma" w:cs="Tahoma"/>
    </w:rPr>
  </w:style>
  <w:style w:type="paragraph" w:styleId="ListNumber2">
    <w:name w:val="List Number 2"/>
    <w:basedOn w:val="ListNumber"/>
    <w:rsid w:val="006308AE"/>
    <w:pPr>
      <w:ind w:left="851"/>
    </w:pPr>
  </w:style>
  <w:style w:type="paragraph" w:styleId="ListNumber">
    <w:name w:val="List Number"/>
    <w:basedOn w:val="List"/>
    <w:rsid w:val="006308AE"/>
  </w:style>
  <w:style w:type="paragraph" w:styleId="List">
    <w:name w:val="List"/>
    <w:basedOn w:val="Normal"/>
    <w:rsid w:val="006308AE"/>
    <w:pPr>
      <w:ind w:left="568" w:hanging="284"/>
    </w:pPr>
  </w:style>
  <w:style w:type="paragraph" w:styleId="Header">
    <w:name w:val="header"/>
    <w:rsid w:val="006308A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308AE"/>
    <w:rPr>
      <w:b/>
      <w:bCs/>
      <w:position w:val="6"/>
      <w:sz w:val="16"/>
      <w:szCs w:val="16"/>
    </w:rPr>
  </w:style>
  <w:style w:type="paragraph" w:styleId="FootnoteText">
    <w:name w:val="footnote text"/>
    <w:basedOn w:val="Normal"/>
    <w:semiHidden/>
    <w:rsid w:val="006308AE"/>
    <w:pPr>
      <w:keepLines/>
      <w:spacing w:after="0"/>
      <w:ind w:left="454" w:hanging="454"/>
    </w:pPr>
    <w:rPr>
      <w:sz w:val="16"/>
      <w:szCs w:val="16"/>
    </w:rPr>
  </w:style>
  <w:style w:type="paragraph" w:customStyle="1" w:styleId="3GPPHeader">
    <w:name w:val="3GPP_Header"/>
    <w:basedOn w:val="Normal"/>
    <w:qFormat/>
    <w:rsid w:val="006308AE"/>
    <w:pPr>
      <w:tabs>
        <w:tab w:val="left" w:pos="1800"/>
        <w:tab w:val="right" w:pos="9360"/>
      </w:tabs>
      <w:spacing w:after="0"/>
    </w:pPr>
    <w:rPr>
      <w:rFonts w:ascii="Arial" w:hAnsi="Arial"/>
      <w:b/>
    </w:rPr>
  </w:style>
  <w:style w:type="paragraph" w:styleId="TOC9">
    <w:name w:val="toc 9"/>
    <w:basedOn w:val="TOC8"/>
    <w:semiHidden/>
    <w:rsid w:val="006308AE"/>
    <w:pPr>
      <w:ind w:left="1418" w:hanging="1418"/>
    </w:pPr>
  </w:style>
  <w:style w:type="paragraph" w:styleId="TOC6">
    <w:name w:val="toc 6"/>
    <w:basedOn w:val="TOC5"/>
    <w:next w:val="Normal"/>
    <w:semiHidden/>
    <w:rsid w:val="006308AE"/>
    <w:pPr>
      <w:ind w:left="1985" w:hanging="1985"/>
    </w:pPr>
  </w:style>
  <w:style w:type="paragraph" w:styleId="TOC7">
    <w:name w:val="toc 7"/>
    <w:basedOn w:val="TOC6"/>
    <w:next w:val="Normal"/>
    <w:semiHidden/>
    <w:rsid w:val="006308AE"/>
    <w:pPr>
      <w:ind w:left="2268" w:hanging="2268"/>
    </w:pPr>
  </w:style>
  <w:style w:type="paragraph" w:styleId="ListBullet2">
    <w:name w:val="List Bullet 2"/>
    <w:basedOn w:val="ListBullet"/>
    <w:rsid w:val="006308AE"/>
    <w:pPr>
      <w:numPr>
        <w:numId w:val="6"/>
      </w:numPr>
    </w:pPr>
  </w:style>
  <w:style w:type="paragraph" w:styleId="ListBullet">
    <w:name w:val="List Bullet"/>
    <w:basedOn w:val="BodyText"/>
    <w:rsid w:val="006308AE"/>
    <w:pPr>
      <w:numPr>
        <w:numId w:val="5"/>
      </w:numPr>
    </w:pPr>
  </w:style>
  <w:style w:type="paragraph" w:styleId="ListBullet3">
    <w:name w:val="List Bullet 3"/>
    <w:basedOn w:val="ListBullet2"/>
    <w:rsid w:val="006308AE"/>
    <w:pPr>
      <w:numPr>
        <w:numId w:val="7"/>
      </w:numPr>
    </w:pPr>
  </w:style>
  <w:style w:type="paragraph" w:customStyle="1" w:styleId="EQ">
    <w:name w:val="EQ"/>
    <w:basedOn w:val="Normal"/>
    <w:next w:val="Normal"/>
    <w:rsid w:val="006308AE"/>
    <w:pPr>
      <w:keepLines/>
      <w:tabs>
        <w:tab w:val="center" w:pos="4536"/>
        <w:tab w:val="right" w:pos="9072"/>
      </w:tabs>
      <w:spacing w:after="180"/>
      <w:jc w:val="left"/>
    </w:pPr>
    <w:rPr>
      <w:noProof/>
      <w:lang w:eastAsia="en-US"/>
    </w:rPr>
  </w:style>
  <w:style w:type="paragraph" w:styleId="List2">
    <w:name w:val="List 2"/>
    <w:basedOn w:val="List"/>
    <w:rsid w:val="006308AE"/>
    <w:pPr>
      <w:ind w:left="851"/>
    </w:pPr>
  </w:style>
  <w:style w:type="paragraph" w:styleId="List3">
    <w:name w:val="List 3"/>
    <w:basedOn w:val="List2"/>
    <w:rsid w:val="006308AE"/>
    <w:pPr>
      <w:ind w:left="1135"/>
    </w:pPr>
  </w:style>
  <w:style w:type="paragraph" w:styleId="List4">
    <w:name w:val="List 4"/>
    <w:basedOn w:val="List3"/>
    <w:rsid w:val="006308AE"/>
    <w:pPr>
      <w:ind w:left="1418"/>
    </w:pPr>
  </w:style>
  <w:style w:type="paragraph" w:styleId="List5">
    <w:name w:val="List 5"/>
    <w:basedOn w:val="List4"/>
    <w:rsid w:val="006308AE"/>
    <w:pPr>
      <w:ind w:left="1702"/>
    </w:pPr>
  </w:style>
  <w:style w:type="paragraph" w:customStyle="1" w:styleId="EditorsNote">
    <w:name w:val="Editor's Note"/>
    <w:basedOn w:val="Normal"/>
    <w:rsid w:val="006308AE"/>
    <w:pPr>
      <w:keepLines/>
      <w:spacing w:after="180"/>
      <w:ind w:left="1135" w:hanging="851"/>
      <w:jc w:val="left"/>
    </w:pPr>
    <w:rPr>
      <w:color w:val="FF0000"/>
      <w:lang w:eastAsia="en-US"/>
    </w:rPr>
  </w:style>
  <w:style w:type="paragraph" w:styleId="ListBullet4">
    <w:name w:val="List Bullet 4"/>
    <w:basedOn w:val="ListBullet3"/>
    <w:rsid w:val="006308AE"/>
    <w:pPr>
      <w:numPr>
        <w:numId w:val="8"/>
      </w:numPr>
    </w:pPr>
  </w:style>
  <w:style w:type="paragraph" w:styleId="ListBullet5">
    <w:name w:val="List Bullet 5"/>
    <w:basedOn w:val="ListBullet4"/>
    <w:rsid w:val="006308AE"/>
    <w:pPr>
      <w:numPr>
        <w:numId w:val="4"/>
      </w:numPr>
    </w:pPr>
  </w:style>
  <w:style w:type="paragraph" w:styleId="Footer">
    <w:name w:val="footer"/>
    <w:basedOn w:val="Header"/>
    <w:semiHidden/>
    <w:rsid w:val="006308AE"/>
    <w:pPr>
      <w:jc w:val="center"/>
    </w:pPr>
    <w:rPr>
      <w:i/>
      <w:iCs/>
    </w:rPr>
  </w:style>
  <w:style w:type="paragraph" w:customStyle="1" w:styleId="Reference">
    <w:name w:val="Reference"/>
    <w:basedOn w:val="Normal"/>
    <w:qFormat/>
    <w:rsid w:val="006308AE"/>
    <w:pPr>
      <w:numPr>
        <w:numId w:val="2"/>
      </w:numPr>
    </w:pPr>
  </w:style>
  <w:style w:type="paragraph" w:styleId="BalloonText">
    <w:name w:val="Balloon Text"/>
    <w:basedOn w:val="Normal"/>
    <w:semiHidden/>
    <w:rsid w:val="006308AE"/>
    <w:rPr>
      <w:rFonts w:ascii="Tahoma" w:hAnsi="Tahoma" w:cs="Tahoma"/>
      <w:sz w:val="16"/>
      <w:szCs w:val="16"/>
    </w:rPr>
  </w:style>
  <w:style w:type="character" w:styleId="PageNumber">
    <w:name w:val="page number"/>
    <w:basedOn w:val="DefaultParagraphFont"/>
    <w:semiHidden/>
    <w:rsid w:val="006308AE"/>
  </w:style>
  <w:style w:type="paragraph" w:styleId="BodyText">
    <w:name w:val="Body Text"/>
    <w:basedOn w:val="Normal"/>
    <w:link w:val="BodyTextChar"/>
    <w:qFormat/>
    <w:rsid w:val="006308AE"/>
  </w:style>
  <w:style w:type="character" w:styleId="Hyperlink">
    <w:name w:val="Hyperlink"/>
    <w:uiPriority w:val="99"/>
    <w:rsid w:val="006308AE"/>
    <w:rPr>
      <w:color w:val="0000FF"/>
      <w:u w:val="single"/>
      <w:lang w:val="en-GB"/>
    </w:rPr>
  </w:style>
  <w:style w:type="character" w:styleId="FollowedHyperlink">
    <w:name w:val="FollowedHyperlink"/>
    <w:semiHidden/>
    <w:rsid w:val="006308AE"/>
    <w:rPr>
      <w:color w:val="FF0000"/>
      <w:u w:val="single"/>
    </w:rPr>
  </w:style>
  <w:style w:type="character" w:styleId="CommentReference">
    <w:name w:val="annotation reference"/>
    <w:semiHidden/>
    <w:rsid w:val="006308AE"/>
    <w:rPr>
      <w:sz w:val="16"/>
      <w:szCs w:val="16"/>
    </w:rPr>
  </w:style>
  <w:style w:type="paragraph" w:styleId="CommentText">
    <w:name w:val="annotation text"/>
    <w:basedOn w:val="Normal"/>
    <w:semiHidden/>
    <w:rsid w:val="006308AE"/>
  </w:style>
  <w:style w:type="paragraph" w:styleId="CommentSubject">
    <w:name w:val="annotation subject"/>
    <w:basedOn w:val="CommentText"/>
    <w:next w:val="CommentText"/>
    <w:semiHidden/>
    <w:rsid w:val="006308AE"/>
    <w:rPr>
      <w:b/>
      <w:bCs/>
    </w:rPr>
  </w:style>
  <w:style w:type="character" w:customStyle="1" w:styleId="Heading1Char">
    <w:name w:val="Heading 1 Char"/>
    <w:link w:val="Heading1"/>
    <w:rsid w:val="006308AE"/>
    <w:rPr>
      <w:rFonts w:ascii="Arial" w:hAnsi="Arial" w:cs="Arial"/>
      <w:sz w:val="32"/>
      <w:szCs w:val="36"/>
      <w:lang w:val="en-GB" w:eastAsia="zh-CN"/>
    </w:rPr>
  </w:style>
  <w:style w:type="paragraph" w:customStyle="1" w:styleId="B1">
    <w:name w:val="B1"/>
    <w:basedOn w:val="List"/>
    <w:rsid w:val="006308AE"/>
    <w:pPr>
      <w:spacing w:after="180"/>
      <w:jc w:val="left"/>
    </w:pPr>
    <w:rPr>
      <w:lang w:eastAsia="en-US"/>
    </w:rPr>
  </w:style>
  <w:style w:type="paragraph" w:customStyle="1" w:styleId="B2">
    <w:name w:val="B2"/>
    <w:basedOn w:val="List2"/>
    <w:rsid w:val="006308AE"/>
    <w:pPr>
      <w:spacing w:after="180"/>
      <w:jc w:val="left"/>
    </w:pPr>
    <w:rPr>
      <w:lang w:eastAsia="en-US"/>
    </w:rPr>
  </w:style>
  <w:style w:type="paragraph" w:customStyle="1" w:styleId="B3">
    <w:name w:val="B3"/>
    <w:basedOn w:val="List3"/>
    <w:rsid w:val="006308AE"/>
    <w:pPr>
      <w:spacing w:after="180"/>
      <w:jc w:val="left"/>
    </w:pPr>
    <w:rPr>
      <w:lang w:eastAsia="en-US"/>
    </w:rPr>
  </w:style>
  <w:style w:type="paragraph" w:customStyle="1" w:styleId="B4">
    <w:name w:val="B4"/>
    <w:basedOn w:val="List4"/>
    <w:rsid w:val="006308AE"/>
    <w:pPr>
      <w:spacing w:after="180"/>
      <w:jc w:val="left"/>
    </w:pPr>
    <w:rPr>
      <w:lang w:eastAsia="en-US"/>
    </w:rPr>
  </w:style>
  <w:style w:type="paragraph" w:customStyle="1" w:styleId="Proposal">
    <w:name w:val="Proposal"/>
    <w:basedOn w:val="Normal"/>
    <w:qFormat/>
    <w:rsid w:val="006308AE"/>
    <w:pPr>
      <w:numPr>
        <w:numId w:val="3"/>
      </w:numPr>
      <w:tabs>
        <w:tab w:val="clear" w:pos="1304"/>
        <w:tab w:val="left" w:pos="1701"/>
      </w:tabs>
      <w:ind w:left="1701" w:hanging="1701"/>
    </w:pPr>
    <w:rPr>
      <w:b/>
      <w:bCs/>
    </w:rPr>
  </w:style>
  <w:style w:type="character" w:customStyle="1" w:styleId="BodyTextChar">
    <w:name w:val="Body Text Char"/>
    <w:link w:val="BodyText"/>
    <w:rsid w:val="006308AE"/>
    <w:rPr>
      <w:rFonts w:ascii="Times New Roman" w:hAnsi="Times New Roman"/>
      <w:lang w:val="en-GB" w:eastAsia="zh-CN"/>
    </w:rPr>
  </w:style>
  <w:style w:type="paragraph" w:customStyle="1" w:styleId="B5">
    <w:name w:val="B5"/>
    <w:basedOn w:val="List5"/>
    <w:rsid w:val="006308AE"/>
    <w:pPr>
      <w:spacing w:after="180"/>
      <w:jc w:val="left"/>
    </w:pPr>
    <w:rPr>
      <w:lang w:eastAsia="en-US"/>
    </w:rPr>
  </w:style>
  <w:style w:type="paragraph" w:customStyle="1" w:styleId="EX">
    <w:name w:val="EX"/>
    <w:basedOn w:val="Normal"/>
    <w:rsid w:val="006308AE"/>
    <w:pPr>
      <w:keepLines/>
      <w:spacing w:after="180"/>
      <w:ind w:left="1702" w:hanging="1418"/>
      <w:jc w:val="left"/>
    </w:pPr>
    <w:rPr>
      <w:lang w:eastAsia="en-US"/>
    </w:rPr>
  </w:style>
  <w:style w:type="paragraph" w:customStyle="1" w:styleId="EW">
    <w:name w:val="EW"/>
    <w:basedOn w:val="EX"/>
    <w:rsid w:val="006308AE"/>
    <w:pPr>
      <w:spacing w:after="0"/>
    </w:pPr>
  </w:style>
  <w:style w:type="paragraph" w:customStyle="1" w:styleId="TAL">
    <w:name w:val="TAL"/>
    <w:basedOn w:val="Normal"/>
    <w:rsid w:val="006308AE"/>
    <w:pPr>
      <w:keepNext/>
      <w:keepLines/>
      <w:spacing w:after="0"/>
      <w:jc w:val="left"/>
    </w:pPr>
    <w:rPr>
      <w:sz w:val="18"/>
      <w:lang w:eastAsia="en-US"/>
    </w:rPr>
  </w:style>
  <w:style w:type="paragraph" w:customStyle="1" w:styleId="TAC">
    <w:name w:val="TAC"/>
    <w:basedOn w:val="TAL"/>
    <w:rsid w:val="006308AE"/>
    <w:pPr>
      <w:jc w:val="center"/>
    </w:pPr>
  </w:style>
  <w:style w:type="paragraph" w:customStyle="1" w:styleId="TAH">
    <w:name w:val="TAH"/>
    <w:basedOn w:val="TAC"/>
    <w:rsid w:val="006308AE"/>
    <w:rPr>
      <w:b/>
    </w:rPr>
  </w:style>
  <w:style w:type="paragraph" w:customStyle="1" w:styleId="TAN">
    <w:name w:val="TAN"/>
    <w:basedOn w:val="TAL"/>
    <w:rsid w:val="006308AE"/>
    <w:pPr>
      <w:ind w:left="851" w:hanging="851"/>
    </w:pPr>
  </w:style>
  <w:style w:type="paragraph" w:customStyle="1" w:styleId="TAR">
    <w:name w:val="TAR"/>
    <w:basedOn w:val="TAL"/>
    <w:rsid w:val="006308AE"/>
    <w:pPr>
      <w:jc w:val="right"/>
    </w:pPr>
  </w:style>
  <w:style w:type="paragraph" w:customStyle="1" w:styleId="TH">
    <w:name w:val="TH"/>
    <w:basedOn w:val="Normal"/>
    <w:rsid w:val="006308AE"/>
    <w:pPr>
      <w:keepNext/>
      <w:keepLines/>
      <w:spacing w:before="60" w:after="180"/>
      <w:jc w:val="center"/>
    </w:pPr>
    <w:rPr>
      <w:b/>
      <w:lang w:eastAsia="en-US"/>
    </w:rPr>
  </w:style>
  <w:style w:type="paragraph" w:customStyle="1" w:styleId="TF">
    <w:name w:val="TF"/>
    <w:basedOn w:val="TH"/>
    <w:rsid w:val="006308AE"/>
    <w:pPr>
      <w:keepNext w:val="0"/>
      <w:spacing w:before="0" w:after="240"/>
    </w:pPr>
  </w:style>
  <w:style w:type="paragraph" w:customStyle="1" w:styleId="TT">
    <w:name w:val="TT"/>
    <w:basedOn w:val="Heading1"/>
    <w:next w:val="Normal"/>
    <w:rsid w:val="006308AE"/>
    <w:pPr>
      <w:numPr>
        <w:numId w:val="0"/>
      </w:numPr>
      <w:ind w:left="1134" w:hanging="1134"/>
      <w:outlineLvl w:val="9"/>
    </w:pPr>
    <w:rPr>
      <w:rFonts w:cs="Times New Roman"/>
      <w:szCs w:val="20"/>
      <w:lang w:eastAsia="en-US"/>
    </w:rPr>
  </w:style>
  <w:style w:type="paragraph" w:customStyle="1" w:styleId="ZA">
    <w:name w:val="ZA"/>
    <w:rsid w:val="006308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08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308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308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308AE"/>
  </w:style>
  <w:style w:type="paragraph" w:customStyle="1" w:styleId="ZH">
    <w:name w:val="ZH"/>
    <w:rsid w:val="006308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308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308AE"/>
    <w:pPr>
      <w:framePr w:hRule="auto" w:wrap="notBeside" w:y="852"/>
    </w:pPr>
    <w:rPr>
      <w:i w:val="0"/>
      <w:sz w:val="40"/>
    </w:rPr>
  </w:style>
  <w:style w:type="paragraph" w:customStyle="1" w:styleId="ZU">
    <w:name w:val="ZU"/>
    <w:rsid w:val="006308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308AE"/>
    <w:pPr>
      <w:framePr w:wrap="notBeside" w:y="16161"/>
    </w:pPr>
  </w:style>
  <w:style w:type="paragraph" w:customStyle="1" w:styleId="FP">
    <w:name w:val="FP"/>
    <w:basedOn w:val="Normal"/>
    <w:rsid w:val="006308AE"/>
    <w:pPr>
      <w:spacing w:after="0"/>
      <w:jc w:val="left"/>
    </w:pPr>
    <w:rPr>
      <w:lang w:eastAsia="en-US"/>
    </w:rPr>
  </w:style>
  <w:style w:type="paragraph" w:customStyle="1" w:styleId="Observation">
    <w:name w:val="Observation"/>
    <w:basedOn w:val="Proposal"/>
    <w:qFormat/>
    <w:rsid w:val="006308AE"/>
    <w:pPr>
      <w:numPr>
        <w:numId w:val="13"/>
      </w:numPr>
      <w:ind w:left="1701" w:hanging="1701"/>
    </w:pPr>
  </w:style>
  <w:style w:type="paragraph" w:styleId="TableofFigures">
    <w:name w:val="table of figures"/>
    <w:basedOn w:val="Normal"/>
    <w:next w:val="Normal"/>
    <w:uiPriority w:val="99"/>
    <w:rsid w:val="006308AE"/>
    <w:pPr>
      <w:ind w:left="1418" w:hanging="1418"/>
      <w:jc w:val="left"/>
    </w:pPr>
    <w:rPr>
      <w:b/>
    </w:rPr>
  </w:style>
  <w:style w:type="paragraph" w:styleId="Index4">
    <w:name w:val="index 4"/>
    <w:basedOn w:val="Normal"/>
    <w:next w:val="Normal"/>
    <w:autoRedefine/>
    <w:rsid w:val="006308AE"/>
    <w:pPr>
      <w:ind w:left="800" w:hanging="200"/>
    </w:pPr>
  </w:style>
  <w:style w:type="paragraph" w:styleId="ListParagraph">
    <w:name w:val="List Paragraph"/>
    <w:aliases w:val="- Bullets"/>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0E0A5C"/>
    <w:pPr>
      <w:numPr>
        <w:numId w:val="15"/>
      </w:numPr>
      <w:ind w:left="1699" w:hanging="1699"/>
    </w:pPr>
  </w:style>
  <w:style w:type="character" w:customStyle="1" w:styleId="KeyProposalChar">
    <w:name w:val="Key Proposal Char"/>
    <w:basedOn w:val="BodyTextChar"/>
    <w:link w:val="KeyProposal"/>
    <w:rsid w:val="000E0A5C"/>
    <w:rPr>
      <w:rFonts w:ascii="Times New Roman" w:hAnsi="Times New Roman"/>
      <w:b/>
      <w:bCs/>
      <w:lang w:val="en-GB" w:eastAsia="zh-CN"/>
    </w:rPr>
  </w:style>
  <w:style w:type="character" w:customStyle="1" w:styleId="Style1Char">
    <w:name w:val="Style1 Char"/>
    <w:basedOn w:val="DefaultParagraphFont"/>
    <w:link w:val="Style1"/>
    <w:locked/>
    <w:rsid w:val="004A7F20"/>
    <w:rPr>
      <w:rFonts w:ascii="Malgun Gothic" w:eastAsia="Malgun Gothic" w:hAnsi="Malgun Gothic" w:cs="Batang"/>
      <w:lang w:val="en-GB"/>
    </w:rPr>
  </w:style>
  <w:style w:type="paragraph" w:customStyle="1" w:styleId="Style1">
    <w:name w:val="Style1"/>
    <w:basedOn w:val="Normal"/>
    <w:link w:val="Style1Char"/>
    <w:qFormat/>
    <w:rsid w:val="004A7F20"/>
    <w:pPr>
      <w:overflowPunct/>
      <w:autoSpaceDE/>
      <w:autoSpaceDN/>
      <w:adjustRightInd/>
      <w:spacing w:line="288" w:lineRule="auto"/>
      <w:ind w:firstLine="360"/>
      <w:textAlignment w:val="auto"/>
    </w:pPr>
    <w:rPr>
      <w:rFonts w:ascii="Malgun Gothic" w:eastAsia="Malgun Gothic" w:hAnsi="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238">
      <w:bodyDiv w:val="1"/>
      <w:marLeft w:val="0"/>
      <w:marRight w:val="0"/>
      <w:marTop w:val="0"/>
      <w:marBottom w:val="0"/>
      <w:divBdr>
        <w:top w:val="none" w:sz="0" w:space="0" w:color="auto"/>
        <w:left w:val="none" w:sz="0" w:space="0" w:color="auto"/>
        <w:bottom w:val="none" w:sz="0" w:space="0" w:color="auto"/>
        <w:right w:val="none" w:sz="0" w:space="0" w:color="auto"/>
      </w:divBdr>
    </w:div>
    <w:div w:id="267081904">
      <w:bodyDiv w:val="1"/>
      <w:marLeft w:val="0"/>
      <w:marRight w:val="0"/>
      <w:marTop w:val="0"/>
      <w:marBottom w:val="0"/>
      <w:divBdr>
        <w:top w:val="none" w:sz="0" w:space="0" w:color="auto"/>
        <w:left w:val="none" w:sz="0" w:space="0" w:color="auto"/>
        <w:bottom w:val="none" w:sz="0" w:space="0" w:color="auto"/>
        <w:right w:val="none" w:sz="0" w:space="0" w:color="auto"/>
      </w:divBdr>
    </w:div>
    <w:div w:id="627593474">
      <w:bodyDiv w:val="1"/>
      <w:marLeft w:val="0"/>
      <w:marRight w:val="0"/>
      <w:marTop w:val="0"/>
      <w:marBottom w:val="0"/>
      <w:divBdr>
        <w:top w:val="none" w:sz="0" w:space="0" w:color="auto"/>
        <w:left w:val="none" w:sz="0" w:space="0" w:color="auto"/>
        <w:bottom w:val="none" w:sz="0" w:space="0" w:color="auto"/>
        <w:right w:val="none" w:sz="0" w:space="0" w:color="auto"/>
      </w:divBdr>
      <w:divsChild>
        <w:div w:id="983314750">
          <w:marLeft w:val="274"/>
          <w:marRight w:val="0"/>
          <w:marTop w:val="115"/>
          <w:marBottom w:val="0"/>
          <w:divBdr>
            <w:top w:val="none" w:sz="0" w:space="0" w:color="auto"/>
            <w:left w:val="none" w:sz="0" w:space="0" w:color="auto"/>
            <w:bottom w:val="none" w:sz="0" w:space="0" w:color="auto"/>
            <w:right w:val="none" w:sz="0" w:space="0" w:color="auto"/>
          </w:divBdr>
        </w:div>
      </w:divsChild>
    </w:div>
    <w:div w:id="630987146">
      <w:bodyDiv w:val="1"/>
      <w:marLeft w:val="0"/>
      <w:marRight w:val="0"/>
      <w:marTop w:val="0"/>
      <w:marBottom w:val="0"/>
      <w:divBdr>
        <w:top w:val="none" w:sz="0" w:space="0" w:color="auto"/>
        <w:left w:val="none" w:sz="0" w:space="0" w:color="auto"/>
        <w:bottom w:val="none" w:sz="0" w:space="0" w:color="auto"/>
        <w:right w:val="none" w:sz="0" w:space="0" w:color="auto"/>
      </w:divBdr>
      <w:divsChild>
        <w:div w:id="636449204">
          <w:marLeft w:val="835"/>
          <w:marRight w:val="0"/>
          <w:marTop w:val="115"/>
          <w:marBottom w:val="0"/>
          <w:divBdr>
            <w:top w:val="none" w:sz="0" w:space="0" w:color="auto"/>
            <w:left w:val="none" w:sz="0" w:space="0" w:color="auto"/>
            <w:bottom w:val="none" w:sz="0" w:space="0" w:color="auto"/>
            <w:right w:val="none" w:sz="0" w:space="0" w:color="auto"/>
          </w:divBdr>
        </w:div>
      </w:divsChild>
    </w:div>
    <w:div w:id="749890738">
      <w:bodyDiv w:val="1"/>
      <w:marLeft w:val="0"/>
      <w:marRight w:val="0"/>
      <w:marTop w:val="0"/>
      <w:marBottom w:val="0"/>
      <w:divBdr>
        <w:top w:val="none" w:sz="0" w:space="0" w:color="auto"/>
        <w:left w:val="none" w:sz="0" w:space="0" w:color="auto"/>
        <w:bottom w:val="none" w:sz="0" w:space="0" w:color="auto"/>
        <w:right w:val="none" w:sz="0" w:space="0" w:color="auto"/>
      </w:divBdr>
    </w:div>
    <w:div w:id="1240554331">
      <w:bodyDiv w:val="1"/>
      <w:marLeft w:val="0"/>
      <w:marRight w:val="0"/>
      <w:marTop w:val="0"/>
      <w:marBottom w:val="0"/>
      <w:divBdr>
        <w:top w:val="none" w:sz="0" w:space="0" w:color="auto"/>
        <w:left w:val="none" w:sz="0" w:space="0" w:color="auto"/>
        <w:bottom w:val="none" w:sz="0" w:space="0" w:color="auto"/>
        <w:right w:val="none" w:sz="0" w:space="0" w:color="auto"/>
      </w:divBdr>
    </w:div>
    <w:div w:id="1241669962">
      <w:bodyDiv w:val="1"/>
      <w:marLeft w:val="0"/>
      <w:marRight w:val="0"/>
      <w:marTop w:val="0"/>
      <w:marBottom w:val="0"/>
      <w:divBdr>
        <w:top w:val="none" w:sz="0" w:space="0" w:color="auto"/>
        <w:left w:val="none" w:sz="0" w:space="0" w:color="auto"/>
        <w:bottom w:val="none" w:sz="0" w:space="0" w:color="auto"/>
        <w:right w:val="none" w:sz="0" w:space="0" w:color="auto"/>
      </w:divBdr>
      <w:divsChild>
        <w:div w:id="882255131">
          <w:marLeft w:val="835"/>
          <w:marRight w:val="0"/>
          <w:marTop w:val="58"/>
          <w:marBottom w:val="0"/>
          <w:divBdr>
            <w:top w:val="none" w:sz="0" w:space="0" w:color="auto"/>
            <w:left w:val="none" w:sz="0" w:space="0" w:color="auto"/>
            <w:bottom w:val="none" w:sz="0" w:space="0" w:color="auto"/>
            <w:right w:val="none" w:sz="0" w:space="0" w:color="auto"/>
          </w:divBdr>
        </w:div>
        <w:div w:id="547953076">
          <w:marLeft w:val="835"/>
          <w:marRight w:val="0"/>
          <w:marTop w:val="58"/>
          <w:marBottom w:val="0"/>
          <w:divBdr>
            <w:top w:val="none" w:sz="0" w:space="0" w:color="auto"/>
            <w:left w:val="none" w:sz="0" w:space="0" w:color="auto"/>
            <w:bottom w:val="none" w:sz="0" w:space="0" w:color="auto"/>
            <w:right w:val="none" w:sz="0" w:space="0" w:color="auto"/>
          </w:divBdr>
        </w:div>
        <w:div w:id="1957441765">
          <w:marLeft w:val="1411"/>
          <w:marRight w:val="0"/>
          <w:marTop w:val="58"/>
          <w:marBottom w:val="0"/>
          <w:divBdr>
            <w:top w:val="none" w:sz="0" w:space="0" w:color="auto"/>
            <w:left w:val="none" w:sz="0" w:space="0" w:color="auto"/>
            <w:bottom w:val="none" w:sz="0" w:space="0" w:color="auto"/>
            <w:right w:val="none" w:sz="0" w:space="0" w:color="auto"/>
          </w:divBdr>
        </w:div>
        <w:div w:id="2051999640">
          <w:marLeft w:val="1973"/>
          <w:marRight w:val="0"/>
          <w:marTop w:val="58"/>
          <w:marBottom w:val="0"/>
          <w:divBdr>
            <w:top w:val="none" w:sz="0" w:space="0" w:color="auto"/>
            <w:left w:val="none" w:sz="0" w:space="0" w:color="auto"/>
            <w:bottom w:val="none" w:sz="0" w:space="0" w:color="auto"/>
            <w:right w:val="none" w:sz="0" w:space="0" w:color="auto"/>
          </w:divBdr>
        </w:div>
      </w:divsChild>
    </w:div>
    <w:div w:id="1371415222">
      <w:bodyDiv w:val="1"/>
      <w:marLeft w:val="0"/>
      <w:marRight w:val="0"/>
      <w:marTop w:val="0"/>
      <w:marBottom w:val="0"/>
      <w:divBdr>
        <w:top w:val="none" w:sz="0" w:space="0" w:color="auto"/>
        <w:left w:val="none" w:sz="0" w:space="0" w:color="auto"/>
        <w:bottom w:val="none" w:sz="0" w:space="0" w:color="auto"/>
        <w:right w:val="none" w:sz="0" w:space="0" w:color="auto"/>
      </w:divBdr>
      <w:divsChild>
        <w:div w:id="1493793685">
          <w:marLeft w:val="274"/>
          <w:marRight w:val="0"/>
          <w:marTop w:val="67"/>
          <w:marBottom w:val="0"/>
          <w:divBdr>
            <w:top w:val="none" w:sz="0" w:space="0" w:color="auto"/>
            <w:left w:val="none" w:sz="0" w:space="0" w:color="auto"/>
            <w:bottom w:val="none" w:sz="0" w:space="0" w:color="auto"/>
            <w:right w:val="none" w:sz="0" w:space="0" w:color="auto"/>
          </w:divBdr>
        </w:div>
        <w:div w:id="1396930461">
          <w:marLeft w:val="835"/>
          <w:marRight w:val="0"/>
          <w:marTop w:val="58"/>
          <w:marBottom w:val="0"/>
          <w:divBdr>
            <w:top w:val="none" w:sz="0" w:space="0" w:color="auto"/>
            <w:left w:val="none" w:sz="0" w:space="0" w:color="auto"/>
            <w:bottom w:val="none" w:sz="0" w:space="0" w:color="auto"/>
            <w:right w:val="none" w:sz="0" w:space="0" w:color="auto"/>
          </w:divBdr>
        </w:div>
        <w:div w:id="1398479334">
          <w:marLeft w:val="835"/>
          <w:marRight w:val="0"/>
          <w:marTop w:val="58"/>
          <w:marBottom w:val="0"/>
          <w:divBdr>
            <w:top w:val="none" w:sz="0" w:space="0" w:color="auto"/>
            <w:left w:val="none" w:sz="0" w:space="0" w:color="auto"/>
            <w:bottom w:val="none" w:sz="0" w:space="0" w:color="auto"/>
            <w:right w:val="none" w:sz="0" w:space="0" w:color="auto"/>
          </w:divBdr>
        </w:div>
        <w:div w:id="76368016">
          <w:marLeft w:val="1411"/>
          <w:marRight w:val="0"/>
          <w:marTop w:val="58"/>
          <w:marBottom w:val="0"/>
          <w:divBdr>
            <w:top w:val="none" w:sz="0" w:space="0" w:color="auto"/>
            <w:left w:val="none" w:sz="0" w:space="0" w:color="auto"/>
            <w:bottom w:val="none" w:sz="0" w:space="0" w:color="auto"/>
            <w:right w:val="none" w:sz="0" w:space="0" w:color="auto"/>
          </w:divBdr>
        </w:div>
      </w:divsChild>
    </w:div>
    <w:div w:id="1801069659">
      <w:bodyDiv w:val="1"/>
      <w:marLeft w:val="0"/>
      <w:marRight w:val="0"/>
      <w:marTop w:val="0"/>
      <w:marBottom w:val="0"/>
      <w:divBdr>
        <w:top w:val="none" w:sz="0" w:space="0" w:color="auto"/>
        <w:left w:val="none" w:sz="0" w:space="0" w:color="auto"/>
        <w:bottom w:val="none" w:sz="0" w:space="0" w:color="auto"/>
        <w:right w:val="none" w:sz="0" w:space="0" w:color="auto"/>
      </w:divBdr>
    </w:div>
    <w:div w:id="2115977609">
      <w:bodyDiv w:val="1"/>
      <w:marLeft w:val="0"/>
      <w:marRight w:val="0"/>
      <w:marTop w:val="0"/>
      <w:marBottom w:val="0"/>
      <w:divBdr>
        <w:top w:val="none" w:sz="0" w:space="0" w:color="auto"/>
        <w:left w:val="none" w:sz="0" w:space="0" w:color="auto"/>
        <w:bottom w:val="none" w:sz="0" w:space="0" w:color="auto"/>
        <w:right w:val="none" w:sz="0" w:space="0" w:color="auto"/>
      </w:divBdr>
      <w:divsChild>
        <w:div w:id="56684669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BDAAB-689C-44F5-9EC0-F489ED0BE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1890</TotalTime>
  <Pages>9</Pages>
  <Words>4304</Words>
  <Characters>24537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78</cp:revision>
  <cp:lastPrinted>2008-01-31T15:09:00Z</cp:lastPrinted>
  <dcterms:created xsi:type="dcterms:W3CDTF">2016-07-07T21:45:00Z</dcterms:created>
  <dcterms:modified xsi:type="dcterms:W3CDTF">2017-10-03T00:30:00Z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2017-10-01T22:00:00Z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